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body>
    <w:p w:rsidR="00A16C31" w:rsidP="00241B0A" w:rsidRDefault="00A16C31" w14:paraId="5A061C79" w14:textId="61EAEBD9">
      <w:pPr>
        <w:pStyle w:val="Heading1"/>
        <w:ind w:left="2419" w:right="2418"/>
        <w:jc w:val="center"/>
      </w:pPr>
      <w:bookmarkStart w:name="_Hlk53147752" w:id="0"/>
      <w:r>
        <w:t>71</w:t>
      </w:r>
      <w:r w:rsidRPr="00A16C31">
        <w:rPr>
          <w:vertAlign w:val="superscript"/>
        </w:rPr>
        <w:t>st</w:t>
      </w:r>
      <w:r>
        <w:t xml:space="preserve"> </w:t>
      </w:r>
      <w:r w:rsidR="006C5495">
        <w:t xml:space="preserve">General Service Conference </w:t>
      </w:r>
      <w:r w:rsidR="001B4870">
        <w:t>Proposed Agenda Item</w:t>
      </w:r>
      <w:r>
        <w:t xml:space="preserve"> by Area 29</w:t>
      </w:r>
    </w:p>
    <w:p w:rsidR="00A16C31" w:rsidP="00241B0A" w:rsidRDefault="00A16C31" w14:paraId="4FF2F2CB" w14:textId="77777777">
      <w:pPr>
        <w:pStyle w:val="Heading1"/>
        <w:ind w:left="2419" w:right="2418"/>
        <w:jc w:val="center"/>
      </w:pPr>
    </w:p>
    <w:p w:rsidRPr="006C2869" w:rsidR="006C5495" w:rsidP="15CA65DF" w:rsidRDefault="006C2869" w14:paraId="1F95EEBB" w14:textId="1E448E2D">
      <w:pPr>
        <w:shd w:val="clear" w:color="auto" w:fill="FFFFFF" w:themeFill="background1"/>
        <w:jc w:val="both"/>
        <w:rPr>
          <w:rFonts w:ascii="Helvetica" w:hAnsi="Helvetica" w:eastAsia="Times New Roman" w:cs="Helvetica"/>
          <w:b w:val="1"/>
          <w:bCs w:val="1"/>
          <w:i w:val="1"/>
          <w:iCs w:val="1"/>
          <w:color w:val="333333"/>
          <w:sz w:val="24"/>
          <w:szCs w:val="24"/>
        </w:rPr>
      </w:pPr>
      <w:r w:rsidRPr="15CA65DF" w:rsidR="006C2869">
        <w:rPr>
          <w:rFonts w:ascii="Helvetica" w:hAnsi="Helvetica" w:cs="Helvetica"/>
          <w:b w:val="1"/>
          <w:bCs w:val="1"/>
          <w:i w:val="1"/>
          <w:iCs w:val="1"/>
          <w:sz w:val="24"/>
          <w:szCs w:val="24"/>
        </w:rPr>
        <w:t xml:space="preserve">Motion: </w:t>
      </w:r>
      <w:r w:rsidRPr="15CA65DF" w:rsidR="34FE8A4B">
        <w:rPr>
          <w:rFonts w:ascii="Helvetica" w:hAnsi="Helvetica" w:cs="Helvetica"/>
          <w:b w:val="1"/>
          <w:bCs w:val="1"/>
          <w:i w:val="1"/>
          <w:iCs w:val="1"/>
          <w:sz w:val="24"/>
          <w:szCs w:val="24"/>
        </w:rPr>
        <w:t xml:space="preserve">The Area </w:t>
      </w:r>
      <w:r w:rsidRPr="15CA65DF" w:rsidR="26993BD6">
        <w:rPr>
          <w:rFonts w:ascii="Helvetica" w:hAnsi="Helvetica" w:cs="Helvetica"/>
          <w:b w:val="1"/>
          <w:bCs w:val="1"/>
          <w:i w:val="1"/>
          <w:iCs w:val="1"/>
          <w:sz w:val="24"/>
          <w:szCs w:val="24"/>
        </w:rPr>
        <w:t xml:space="preserve">29 </w:t>
      </w:r>
      <w:r w:rsidRPr="15CA65DF" w:rsidR="006C2869">
        <w:rPr>
          <w:rFonts w:ascii="Helvetica" w:hAnsi="Helvetica" w:cs="Helvetica"/>
          <w:b w:val="1"/>
          <w:bCs w:val="1"/>
          <w:i w:val="1"/>
          <w:iCs w:val="1"/>
          <w:sz w:val="24"/>
          <w:szCs w:val="24"/>
        </w:rPr>
        <w:t xml:space="preserve">Committee </w:t>
      </w:r>
      <w:r w:rsidRPr="15CA65DF" w:rsidR="2B70D062">
        <w:rPr>
          <w:rFonts w:ascii="Helvetica" w:hAnsi="Helvetica" w:cs="Helvetica"/>
          <w:b w:val="1"/>
          <w:bCs w:val="1"/>
          <w:i w:val="1"/>
          <w:iCs w:val="1"/>
          <w:sz w:val="24"/>
          <w:szCs w:val="24"/>
        </w:rPr>
        <w:t xml:space="preserve">recommends to the </w:t>
      </w:r>
      <w:r w:rsidRPr="15CA65DF" w:rsidR="006C2869">
        <w:rPr>
          <w:rFonts w:ascii="Helvetica" w:hAnsi="Helvetica" w:cs="Helvetica"/>
          <w:b w:val="1"/>
          <w:bCs w:val="1"/>
          <w:i w:val="1"/>
          <w:iCs w:val="1"/>
          <w:sz w:val="24"/>
          <w:szCs w:val="24"/>
        </w:rPr>
        <w:t xml:space="preserve">Area </w:t>
      </w:r>
      <w:r w:rsidRPr="15CA65DF" w:rsidR="3A9444BB">
        <w:rPr>
          <w:rFonts w:ascii="Helvetica" w:hAnsi="Helvetica" w:cs="Helvetica"/>
          <w:b w:val="1"/>
          <w:bCs w:val="1"/>
          <w:i w:val="1"/>
          <w:iCs w:val="1"/>
          <w:sz w:val="24"/>
          <w:szCs w:val="24"/>
        </w:rPr>
        <w:t xml:space="preserve">29 </w:t>
      </w:r>
      <w:r w:rsidRPr="15CA65DF" w:rsidR="006C2869">
        <w:rPr>
          <w:rFonts w:ascii="Helvetica" w:hAnsi="Helvetica" w:cs="Helvetica"/>
          <w:b w:val="1"/>
          <w:bCs w:val="1"/>
          <w:i w:val="1"/>
          <w:iCs w:val="1"/>
          <w:sz w:val="24"/>
          <w:szCs w:val="24"/>
        </w:rPr>
        <w:t xml:space="preserve">Assembly </w:t>
      </w:r>
      <w:r w:rsidRPr="15CA65DF" w:rsidR="006C2869">
        <w:rPr>
          <w:rFonts w:ascii="Helvetica" w:hAnsi="Helvetica" w:cs="Helvetica"/>
          <w:b w:val="1"/>
          <w:bCs w:val="1"/>
          <w:i w:val="1"/>
          <w:iCs w:val="1"/>
          <w:sz w:val="24"/>
          <w:szCs w:val="24"/>
        </w:rPr>
        <w:t>that Area 29, Maryland adopt</w:t>
      </w:r>
      <w:r w:rsidRPr="15CA65DF" w:rsidR="181B1E50">
        <w:rPr>
          <w:rFonts w:ascii="Helvetica" w:hAnsi="Helvetica" w:cs="Helvetica"/>
          <w:b w:val="1"/>
          <w:bCs w:val="1"/>
          <w:i w:val="1"/>
          <w:iCs w:val="1"/>
          <w:sz w:val="24"/>
          <w:szCs w:val="24"/>
        </w:rPr>
        <w:t>s</w:t>
      </w:r>
      <w:r w:rsidRPr="15CA65DF" w:rsidR="006C2869">
        <w:rPr>
          <w:rFonts w:ascii="Helvetica" w:hAnsi="Helvetica" w:cs="Helvetica"/>
          <w:b w:val="1"/>
          <w:bCs w:val="1"/>
          <w:i w:val="1"/>
          <w:iCs w:val="1"/>
          <w:sz w:val="24"/>
          <w:szCs w:val="24"/>
        </w:rPr>
        <w:t xml:space="preserve"> this agenda item to </w:t>
      </w:r>
      <w:r w:rsidRPr="15CA65DF" w:rsidR="001B4870">
        <w:rPr>
          <w:rFonts w:ascii="Helvetica" w:hAnsi="Helvetica" w:eastAsia="Times New Roman" w:cs="Helvetica"/>
          <w:b w:val="1"/>
          <w:bCs w:val="1"/>
          <w:i w:val="1"/>
          <w:iCs w:val="1"/>
          <w:color w:val="333333"/>
          <w:sz w:val="24"/>
          <w:szCs w:val="24"/>
        </w:rPr>
        <w:t>request</w:t>
      </w:r>
      <w:r w:rsidRPr="15CA65DF" w:rsidR="006C2869">
        <w:rPr>
          <w:rFonts w:ascii="Helvetica" w:hAnsi="Helvetica" w:eastAsia="Times New Roman" w:cs="Helvetica"/>
          <w:b w:val="1"/>
          <w:bCs w:val="1"/>
          <w:i w:val="1"/>
          <w:iCs w:val="1"/>
          <w:color w:val="333333"/>
          <w:sz w:val="24"/>
          <w:szCs w:val="24"/>
        </w:rPr>
        <w:t xml:space="preserve"> </w:t>
      </w:r>
      <w:r w:rsidRPr="15CA65DF" w:rsidR="006C5495">
        <w:rPr>
          <w:rFonts w:ascii="Helvetica" w:hAnsi="Helvetica" w:eastAsia="Times New Roman" w:cs="Helvetica"/>
          <w:b w:val="1"/>
          <w:bCs w:val="1"/>
          <w:i w:val="1"/>
          <w:iCs w:val="1"/>
          <w:color w:val="333333"/>
          <w:sz w:val="24"/>
          <w:szCs w:val="24"/>
        </w:rPr>
        <w:t xml:space="preserve">a procedure be drafted to appeal </w:t>
      </w:r>
      <w:r w:rsidRPr="15CA65DF" w:rsidR="00241B0A">
        <w:rPr>
          <w:rFonts w:ascii="Helvetica" w:hAnsi="Helvetica" w:eastAsia="Times New Roman" w:cs="Helvetica"/>
          <w:b w:val="1"/>
          <w:bCs w:val="1"/>
          <w:i w:val="1"/>
          <w:iCs w:val="1"/>
          <w:color w:val="333333"/>
          <w:sz w:val="24"/>
          <w:szCs w:val="24"/>
        </w:rPr>
        <w:t>a</w:t>
      </w:r>
      <w:r w:rsidRPr="15CA65DF" w:rsidR="006C5495">
        <w:rPr>
          <w:rFonts w:ascii="Helvetica" w:hAnsi="Helvetica" w:eastAsia="Times New Roman" w:cs="Helvetica"/>
          <w:b w:val="1"/>
          <w:bCs w:val="1"/>
          <w:i w:val="1"/>
          <w:iCs w:val="1"/>
          <w:color w:val="333333"/>
          <w:sz w:val="24"/>
          <w:szCs w:val="24"/>
        </w:rPr>
        <w:t xml:space="preserve"> ruling by the Conference Chair. This procedure may include </w:t>
      </w:r>
      <w:r w:rsidRPr="15CA65DF" w:rsidR="00955BA6">
        <w:rPr>
          <w:rFonts w:ascii="Helvetica" w:hAnsi="Helvetica" w:eastAsia="Times New Roman" w:cs="Helvetica"/>
          <w:b w:val="1"/>
          <w:bCs w:val="1"/>
          <w:i w:val="1"/>
          <w:iCs w:val="1"/>
          <w:color w:val="333333"/>
          <w:sz w:val="24"/>
          <w:szCs w:val="24"/>
        </w:rPr>
        <w:t xml:space="preserve">that the Chair </w:t>
      </w:r>
      <w:r w:rsidRPr="15CA65DF" w:rsidR="00DA0671">
        <w:rPr>
          <w:rFonts w:ascii="Helvetica" w:hAnsi="Helvetica" w:eastAsia="Times New Roman" w:cs="Helvetica"/>
          <w:b w:val="1"/>
          <w:bCs w:val="1"/>
          <w:i w:val="1"/>
          <w:iCs w:val="1"/>
          <w:color w:val="333333"/>
          <w:sz w:val="24"/>
          <w:szCs w:val="24"/>
        </w:rPr>
        <w:t xml:space="preserve">may </w:t>
      </w:r>
      <w:r w:rsidRPr="15CA65DF" w:rsidR="00955BA6">
        <w:rPr>
          <w:rFonts w:ascii="Helvetica" w:hAnsi="Helvetica" w:eastAsia="Times New Roman" w:cs="Helvetica"/>
          <w:b w:val="1"/>
          <w:bCs w:val="1"/>
          <w:i w:val="1"/>
          <w:iCs w:val="1"/>
          <w:color w:val="333333"/>
          <w:sz w:val="24"/>
          <w:szCs w:val="24"/>
        </w:rPr>
        <w:t xml:space="preserve">provide </w:t>
      </w:r>
      <w:r w:rsidRPr="15CA65DF" w:rsidR="006C5495">
        <w:rPr>
          <w:rFonts w:ascii="Helvetica" w:hAnsi="Helvetica" w:eastAsia="Times New Roman" w:cs="Helvetica"/>
          <w:b w:val="1"/>
          <w:bCs w:val="1"/>
          <w:i w:val="1"/>
          <w:iCs w:val="1"/>
          <w:color w:val="333333"/>
          <w:sz w:val="24"/>
          <w:szCs w:val="24"/>
        </w:rPr>
        <w:t xml:space="preserve">an </w:t>
      </w:r>
      <w:r w:rsidRPr="15CA65DF" w:rsidR="0028221D">
        <w:rPr>
          <w:rFonts w:ascii="Helvetica" w:hAnsi="Helvetica" w:eastAsia="Times New Roman" w:cs="Helvetica"/>
          <w:b w:val="1"/>
          <w:bCs w:val="1"/>
          <w:i w:val="1"/>
          <w:iCs w:val="1"/>
          <w:color w:val="333333"/>
          <w:sz w:val="24"/>
          <w:szCs w:val="24"/>
        </w:rPr>
        <w:t>explanation as</w:t>
      </w:r>
      <w:r w:rsidRPr="15CA65DF" w:rsidR="006C5495">
        <w:rPr>
          <w:rFonts w:ascii="Helvetica" w:hAnsi="Helvetica" w:eastAsia="Times New Roman" w:cs="Helvetica"/>
          <w:b w:val="1"/>
          <w:bCs w:val="1"/>
          <w:i w:val="1"/>
          <w:iCs w:val="1"/>
          <w:color w:val="333333"/>
          <w:sz w:val="24"/>
          <w:szCs w:val="24"/>
        </w:rPr>
        <w:t xml:space="preserve"> to such ruling</w:t>
      </w:r>
      <w:r w:rsidRPr="15CA65DF" w:rsidR="006279CE">
        <w:rPr>
          <w:rFonts w:ascii="Helvetica" w:hAnsi="Helvetica" w:eastAsia="Times New Roman" w:cs="Helvetica"/>
          <w:b w:val="1"/>
          <w:bCs w:val="1"/>
          <w:i w:val="1"/>
          <w:iCs w:val="1"/>
          <w:color w:val="333333"/>
          <w:sz w:val="24"/>
          <w:szCs w:val="24"/>
        </w:rPr>
        <w:t xml:space="preserve"> and the process for challenging a ruling of the </w:t>
      </w:r>
      <w:r w:rsidRPr="15CA65DF" w:rsidR="001C5FB1">
        <w:rPr>
          <w:rFonts w:ascii="Helvetica" w:hAnsi="Helvetica" w:eastAsia="Times New Roman" w:cs="Helvetica"/>
          <w:b w:val="1"/>
          <w:bCs w:val="1"/>
          <w:i w:val="1"/>
          <w:iCs w:val="1"/>
          <w:color w:val="333333"/>
          <w:sz w:val="24"/>
          <w:szCs w:val="24"/>
        </w:rPr>
        <w:t>C</w:t>
      </w:r>
      <w:r w:rsidRPr="15CA65DF" w:rsidR="006279CE">
        <w:rPr>
          <w:rFonts w:ascii="Helvetica" w:hAnsi="Helvetica" w:eastAsia="Times New Roman" w:cs="Helvetica"/>
          <w:b w:val="1"/>
          <w:bCs w:val="1"/>
          <w:i w:val="1"/>
          <w:iCs w:val="1"/>
          <w:color w:val="333333"/>
          <w:sz w:val="24"/>
          <w:szCs w:val="24"/>
        </w:rPr>
        <w:t xml:space="preserve">hair as defined in Robert's Rules of </w:t>
      </w:r>
      <w:r w:rsidRPr="15CA65DF" w:rsidR="001C5FB1">
        <w:rPr>
          <w:rFonts w:ascii="Helvetica" w:hAnsi="Helvetica" w:eastAsia="Times New Roman" w:cs="Helvetica"/>
          <w:b w:val="1"/>
          <w:bCs w:val="1"/>
          <w:i w:val="1"/>
          <w:iCs w:val="1"/>
          <w:color w:val="333333"/>
          <w:sz w:val="24"/>
          <w:szCs w:val="24"/>
        </w:rPr>
        <w:t>Order.</w:t>
      </w:r>
    </w:p>
    <w:p w:rsidRPr="006C5495" w:rsidR="006C5495" w:rsidP="00D3198E" w:rsidRDefault="006C5495" w14:paraId="1383C40D" w14:textId="45965FC3">
      <w:pPr>
        <w:pStyle w:val="BodyText"/>
        <w:ind w:right="135"/>
        <w:jc w:val="both"/>
        <w:rPr>
          <w:sz w:val="22"/>
        </w:rPr>
      </w:pPr>
      <w:r>
        <w:rPr>
          <w:noProof/>
        </w:rPr>
        <mc:AlternateContent>
          <mc:Choice Requires="wps">
            <w:drawing>
              <wp:anchor distT="0" distB="0" distL="0" distR="0" simplePos="0" relativeHeight="251659264" behindDoc="1" locked="0" layoutInCell="1" allowOverlap="1" wp14:anchorId="5697E1B6" wp14:editId="169EF2E9">
                <wp:simplePos x="0" y="0"/>
                <wp:positionH relativeFrom="page">
                  <wp:posOffset>895985</wp:posOffset>
                </wp:positionH>
                <wp:positionV relativeFrom="paragraph">
                  <wp:posOffset>196215</wp:posOffset>
                </wp:positionV>
                <wp:extent cx="5980430" cy="1270"/>
                <wp:effectExtent l="10160" t="12065" r="10160" b="1524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860549">
              <v:shape id="Freeform: Shape 2" style="position:absolute;margin-left:70.55pt;margin-top:15.45pt;width:47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1.44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" w14:anchorId="70E1C882">
                <v:path arrowok="t" o:connecttype="custom" o:connectlocs="0,0;5980430,0" o:connectangles="0,0"/>
                <w10:wrap type="topAndBottom" anchorx="page"/>
              </v:shape>
            </w:pict>
          </mc:Fallback>
        </mc:AlternateContent>
      </w:r>
    </w:p>
    <w:p w:rsidR="006C5495" w:rsidP="00D3198E" w:rsidRDefault="00241B0A" w14:paraId="4104F40D" w14:textId="522775FC">
      <w:pPr>
        <w:pStyle w:val="Heading1"/>
        <w:spacing w:before="92"/>
        <w:ind w:left="0"/>
        <w:jc w:val="both"/>
      </w:pPr>
      <w:r>
        <w:t>Key Points:</w:t>
      </w:r>
    </w:p>
    <w:p w:rsidR="006C5495" w:rsidP="00D3198E" w:rsidRDefault="006C5495" w14:paraId="76135B94" w14:textId="77777777">
      <w:pPr>
        <w:pStyle w:val="BodyText"/>
        <w:jc w:val="both"/>
        <w:rPr>
          <w:b/>
        </w:rPr>
      </w:pPr>
    </w:p>
    <w:p w:rsidR="006C5495" w:rsidP="00241B0A" w:rsidRDefault="00241B0A" w14:paraId="5FAD3A32" w14:textId="719F3AFC">
      <w:pPr>
        <w:pStyle w:val="BodyText"/>
        <w:numPr>
          <w:ilvl w:val="0"/>
          <w:numId w:val="1"/>
        </w:numPr>
        <w:jc w:val="both"/>
        <w:rPr>
          <w:iCs/>
          <w:szCs w:val="22"/>
        </w:rPr>
      </w:pPr>
      <w:r>
        <w:rPr>
          <w:iCs/>
          <w:szCs w:val="22"/>
        </w:rPr>
        <w:t>Area 29</w:t>
      </w:r>
      <w:r w:rsidR="006C5495">
        <w:rPr>
          <w:iCs/>
          <w:szCs w:val="22"/>
        </w:rPr>
        <w:t xml:space="preserve"> examined </w:t>
      </w:r>
      <w:r>
        <w:rPr>
          <w:iCs/>
          <w:szCs w:val="22"/>
        </w:rPr>
        <w:t>A</w:t>
      </w:r>
      <w:r w:rsidR="001B4870">
        <w:rPr>
          <w:iCs/>
          <w:szCs w:val="22"/>
        </w:rPr>
        <w:t>A</w:t>
      </w:r>
      <w:r>
        <w:rPr>
          <w:iCs/>
          <w:szCs w:val="22"/>
        </w:rPr>
        <w:t xml:space="preserve"> literature and legal </w:t>
      </w:r>
      <w:r w:rsidR="006C5495">
        <w:rPr>
          <w:iCs/>
          <w:szCs w:val="22"/>
        </w:rPr>
        <w:t xml:space="preserve">documents that are germane to this particular issue: The Twelve Traditions, The Twelve Concepts, The Bylaws of the General Service Board, and the Conference Charter. </w:t>
      </w:r>
    </w:p>
    <w:p w:rsidR="006C5495" w:rsidP="00D3198E" w:rsidRDefault="006C5495" w14:paraId="139E6CB4" w14:textId="77777777">
      <w:pPr>
        <w:pStyle w:val="BodyText"/>
        <w:jc w:val="both"/>
        <w:rPr>
          <w:iCs/>
          <w:szCs w:val="22"/>
        </w:rPr>
      </w:pPr>
    </w:p>
    <w:p w:rsidRPr="001C5FB1" w:rsidR="006C5495" w:rsidP="0062431A" w:rsidRDefault="006C5495" w14:paraId="4F1E68B9" w14:textId="4D53CAA5">
      <w:pPr>
        <w:pStyle w:val="BodyText"/>
        <w:numPr>
          <w:ilvl w:val="0"/>
          <w:numId w:val="1"/>
        </w:numPr>
        <w:jc w:val="both"/>
        <w:rPr>
          <w:iCs/>
          <w:szCs w:val="22"/>
        </w:rPr>
      </w:pPr>
      <w:r>
        <w:t xml:space="preserve">Traditions </w:t>
      </w:r>
      <w:r w:rsidR="00DA0671">
        <w:t>2 and 9 are relevant</w:t>
      </w:r>
      <w:r w:rsidDel="00DA0671" w:rsidR="00DA0671">
        <w:t xml:space="preserve"> </w:t>
      </w:r>
      <w:r w:rsidR="00DA0671">
        <w:t xml:space="preserve">to </w:t>
      </w:r>
      <w:r>
        <w:t xml:space="preserve">the proposed agenda </w:t>
      </w:r>
      <w:r w:rsidR="0028221D">
        <w:t>item</w:t>
      </w:r>
      <w:r w:rsidR="001B4870">
        <w:t>.</w:t>
      </w:r>
      <w:r w:rsidR="0028221D">
        <w:t xml:space="preserve"> Tradition</w:t>
      </w:r>
      <w:r>
        <w:t xml:space="preserve"> 9 talks about AA leadership being authorized by the top of the triangle, the AA groups. Our leaders are but trusted and experienced servants and derive no real authority from their titles. Universal respect is the key to their usefulness. Tradition 2 states that our leaders do not govern and that the ultimate authority is</w:t>
      </w:r>
      <w:r w:rsidR="001C5FB1">
        <w:t xml:space="preserve"> “a loving God as He may express Himself in our group conscience.”</w:t>
      </w:r>
      <w:r>
        <w:t xml:space="preserve"> </w:t>
      </w:r>
    </w:p>
    <w:p w:rsidR="001C5FB1" w:rsidP="001C5FB1" w:rsidRDefault="001C5FB1" w14:paraId="14E172A4" w14:textId="77777777">
      <w:pPr>
        <w:pStyle w:val="ListParagraph"/>
        <w:rPr>
          <w:iCs/>
        </w:rPr>
      </w:pPr>
    </w:p>
    <w:p w:rsidR="006C5495" w:rsidP="00241B0A" w:rsidRDefault="006C5495" w14:paraId="5CA45CEB" w14:textId="4B64BCD5">
      <w:pPr>
        <w:pStyle w:val="BodyText"/>
        <w:numPr>
          <w:ilvl w:val="0"/>
          <w:numId w:val="1"/>
        </w:numPr>
        <w:jc w:val="both"/>
      </w:pPr>
      <w:r>
        <w:t xml:space="preserve">The Concepts provide a wealth of background which support the proposed agenda item. In reviewing them, Concepts II, III, IV, V, X, and Warranties 1, 3, 5 and 6 all have relevance to the issue. Central to the issue, are Concept 5 and Warranty 3. Concept 5 ensures a “right of appeal” for the Conference, and Warranty 3 reminds us that no Conference member shall be placed in a position of unqualified authority over any of the others. The purpose of the proposed agenda item is to preserve and protect this right of appeal as well as </w:t>
      </w:r>
      <w:r w:rsidR="00DA0671">
        <w:t xml:space="preserve">to </w:t>
      </w:r>
      <w:r w:rsidR="09E3296C">
        <w:t>clarify</w:t>
      </w:r>
      <w:r>
        <w:t xml:space="preserve"> the role of the Chair at Conference.</w:t>
      </w:r>
    </w:p>
    <w:p w:rsidR="006C5495" w:rsidP="00D3198E" w:rsidRDefault="006C5495" w14:paraId="288D89CD" w14:textId="77777777">
      <w:pPr>
        <w:pStyle w:val="BodyText"/>
        <w:jc w:val="both"/>
        <w:rPr>
          <w:iCs/>
          <w:szCs w:val="22"/>
        </w:rPr>
      </w:pPr>
    </w:p>
    <w:p w:rsidR="006C5495" w:rsidP="00241B0A" w:rsidRDefault="006C5495" w14:paraId="58EC3C90" w14:textId="26F401CE">
      <w:pPr>
        <w:pStyle w:val="BodyText"/>
        <w:numPr>
          <w:ilvl w:val="0"/>
          <w:numId w:val="1"/>
        </w:numPr>
        <w:jc w:val="both"/>
      </w:pPr>
      <w:r>
        <w:t xml:space="preserve">The Bylaws reinforce that the guiding </w:t>
      </w:r>
      <w:r w:rsidR="001C5FB1">
        <w:t>principles</w:t>
      </w:r>
      <w:r>
        <w:t xml:space="preserve"> of the General Service Board </w:t>
      </w:r>
      <w:r w:rsidR="001C5FB1">
        <w:t>are</w:t>
      </w:r>
      <w:r>
        <w:t xml:space="preserve"> the </w:t>
      </w:r>
      <w:r w:rsidR="001C5FB1">
        <w:t>Twelve</w:t>
      </w:r>
      <w:r>
        <w:t xml:space="preserve"> Traditions, </w:t>
      </w:r>
      <w:r w:rsidR="001C5FB1">
        <w:t>and that members</w:t>
      </w:r>
      <w:r>
        <w:t xml:space="preserve"> of the Board</w:t>
      </w:r>
      <w:r w:rsidR="001C5FB1">
        <w:t>,</w:t>
      </w:r>
      <w:r>
        <w:t xml:space="preserve"> </w:t>
      </w:r>
      <w:r w:rsidR="001C5FB1">
        <w:t>are during con</w:t>
      </w:r>
      <w:r>
        <w:t>ference, referred to as “Conference Delegates”, with the same rights and responsibilities as each Delegate.</w:t>
      </w:r>
    </w:p>
    <w:p w:rsidR="006C5495" w:rsidP="00D3198E" w:rsidRDefault="006C5495" w14:paraId="79DC37E7" w14:textId="77777777">
      <w:pPr>
        <w:pStyle w:val="BodyText"/>
        <w:jc w:val="both"/>
        <w:rPr>
          <w:iCs/>
          <w:szCs w:val="22"/>
        </w:rPr>
      </w:pPr>
    </w:p>
    <w:p w:rsidR="006C5495" w:rsidP="00241B0A" w:rsidRDefault="006C5495" w14:paraId="10597FB9" w14:textId="3B819799">
      <w:pPr>
        <w:pStyle w:val="BodyText"/>
        <w:numPr>
          <w:ilvl w:val="0"/>
          <w:numId w:val="1"/>
        </w:numPr>
        <w:jc w:val="both"/>
        <w:rPr>
          <w:iCs/>
          <w:szCs w:val="22"/>
        </w:rPr>
      </w:pPr>
      <w:r>
        <w:rPr>
          <w:iCs/>
          <w:szCs w:val="22"/>
        </w:rPr>
        <w:t>The Conference Charter reinforces the proper role of the Conference, not becoming a seat of perilous wealth or power.</w:t>
      </w:r>
    </w:p>
    <w:p w:rsidR="006279CE" w:rsidP="00D3198E" w:rsidRDefault="006279CE" w14:paraId="75A199BA" w14:textId="30CE99D9">
      <w:pPr>
        <w:pStyle w:val="BodyText"/>
        <w:jc w:val="both"/>
        <w:rPr>
          <w:iCs/>
          <w:szCs w:val="22"/>
        </w:rPr>
      </w:pPr>
    </w:p>
    <w:p w:rsidRPr="00A16C31" w:rsidR="008A3391" w:rsidP="00D3198E" w:rsidRDefault="006279CE" w14:paraId="33FA4176" w14:textId="21E0DEB8">
      <w:pPr>
        <w:pStyle w:val="BodyText"/>
        <w:numPr>
          <w:ilvl w:val="0"/>
          <w:numId w:val="1"/>
        </w:numPr>
        <w:jc w:val="both"/>
        <w:rPr>
          <w:iCs/>
          <w:szCs w:val="22"/>
        </w:rPr>
      </w:pPr>
      <w:r>
        <w:rPr>
          <w:iCs/>
          <w:szCs w:val="22"/>
        </w:rPr>
        <w:t>The Conference operates under a modified Roberts Rules of Order and Roberts Rules has a process for an appeal for a ruling of the Chair.</w:t>
      </w:r>
    </w:p>
    <w:p w:rsidR="00A16C31" w:rsidP="00A16C31" w:rsidRDefault="00A16C31" w14:paraId="5825D826" w14:textId="77777777">
      <w:pPr>
        <w:pStyle w:val="BodyText"/>
        <w:jc w:val="both"/>
        <w:rPr>
          <w:iCs/>
          <w:szCs w:val="22"/>
        </w:rPr>
      </w:pPr>
    </w:p>
    <w:p w:rsidR="00A16C31" w:rsidP="00A16C31" w:rsidRDefault="008A3391" w14:paraId="2BF17C53" w14:textId="77777777">
      <w:pPr>
        <w:pStyle w:val="BodyText"/>
        <w:jc w:val="both"/>
        <w:rPr>
          <w:iCs/>
          <w:szCs w:val="22"/>
        </w:rPr>
      </w:pPr>
      <w:r w:rsidRPr="00A16C31">
        <w:rPr>
          <w:iCs/>
          <w:szCs w:val="22"/>
        </w:rPr>
        <w:t>These spiritual principles and practical guides will enable the Conference to build on the</w:t>
      </w:r>
      <w:r>
        <w:rPr>
          <w:iCs/>
          <w:szCs w:val="22"/>
        </w:rPr>
        <w:t xml:space="preserve"> </w:t>
      </w:r>
      <w:bookmarkEnd w:id="0"/>
    </w:p>
    <w:p w:rsidR="00A16C31" w:rsidP="00A16C31" w:rsidRDefault="00A16C31" w14:paraId="7CB5D89D" w14:textId="55B11E44">
      <w:pPr>
        <w:pStyle w:val="BodyText"/>
        <w:jc w:val="both"/>
        <w:rPr>
          <w:iCs/>
          <w:szCs w:val="22"/>
        </w:rPr>
      </w:pPr>
      <w:r>
        <w:rPr>
          <w:iCs/>
          <w:szCs w:val="22"/>
        </w:rPr>
        <w:t xml:space="preserve">history of those </w:t>
      </w:r>
      <w:r w:rsidR="00227BF9">
        <w:rPr>
          <w:iCs/>
          <w:szCs w:val="22"/>
        </w:rPr>
        <w:t>Delegates</w:t>
      </w:r>
      <w:r>
        <w:rPr>
          <w:iCs/>
          <w:szCs w:val="22"/>
        </w:rPr>
        <w:t xml:space="preserve"> that have gone before as well providing tools for future Conferences</w:t>
      </w:r>
    </w:p>
    <w:p w:rsidRPr="00A16C31" w:rsidR="00A16C31" w:rsidP="00A16C31" w:rsidRDefault="006C5495" w14:paraId="1A424F63" w14:textId="610244EE">
      <w:pPr>
        <w:pStyle w:val="BodyText"/>
        <w:jc w:val="both"/>
        <w:rPr>
          <w:iCs/>
        </w:rPr>
      </w:pPr>
      <w:r>
        <w:rPr>
          <w:noProof/>
        </w:rPr>
        <w:lastRenderedPageBreak/>
        <mc:AlternateContent>
          <mc:Choice Requires="wps">
            <w:drawing>
              <wp:anchor distT="0" distB="0" distL="0" distR="0" simplePos="0" relativeHeight="251660288" behindDoc="1" locked="0" layoutInCell="1" allowOverlap="1" wp14:anchorId="1BBAE0C8" wp14:editId="78485103">
                <wp:simplePos x="0" y="0"/>
                <wp:positionH relativeFrom="page">
                  <wp:posOffset>895985</wp:posOffset>
                </wp:positionH>
                <wp:positionV relativeFrom="paragraph">
                  <wp:posOffset>226060</wp:posOffset>
                </wp:positionV>
                <wp:extent cx="5980430" cy="1270"/>
                <wp:effectExtent l="10160" t="13970" r="10160" b="13335"/>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434CD6">
              <v:shape id="Freeform: Shape 1" style="position:absolute;margin-left:70.55pt;margin-top:17.8pt;width:470.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spid="_x0000_s1026" filled="f" strokeweight="1.44pt" path="m,l94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" w14:anchorId="7CC5C77F">
                <v:path arrowok="t" o:connecttype="custom" o:connectlocs="0,0;5980430,0" o:connectangles="0,0"/>
                <w10:wrap type="topAndBottom" anchorx="page"/>
              </v:shape>
            </w:pict>
          </mc:Fallback>
        </mc:AlternateContent>
      </w:r>
    </w:p>
    <w:p w:rsidR="00A16C31" w:rsidP="00D3198E" w:rsidRDefault="00A16C31" w14:paraId="0D5072CE" w14:textId="77777777">
      <w:pPr>
        <w:jc w:val="both"/>
        <w:rPr>
          <w:b/>
          <w:bCs/>
          <w:sz w:val="24"/>
          <w:szCs w:val="24"/>
        </w:rPr>
      </w:pPr>
    </w:p>
    <w:p w:rsidR="005C745E" w:rsidP="00D3198E" w:rsidRDefault="00241B0A" w14:paraId="2C387E0B" w14:textId="7CEC38EA">
      <w:pPr>
        <w:jc w:val="both"/>
        <w:rPr>
          <w:b/>
          <w:bCs/>
          <w:sz w:val="24"/>
          <w:szCs w:val="24"/>
        </w:rPr>
      </w:pPr>
      <w:r>
        <w:rPr>
          <w:b/>
          <w:bCs/>
          <w:sz w:val="24"/>
          <w:szCs w:val="24"/>
        </w:rPr>
        <w:t>Relevant Details</w:t>
      </w:r>
      <w:r w:rsidRPr="006C5495" w:rsidR="006C5495">
        <w:rPr>
          <w:b/>
          <w:bCs/>
          <w:sz w:val="24"/>
          <w:szCs w:val="24"/>
        </w:rPr>
        <w:t>:</w:t>
      </w:r>
    </w:p>
    <w:p w:rsidR="0013479D" w:rsidP="00D3198E" w:rsidRDefault="0013479D" w14:paraId="4D447DF0" w14:textId="57A02EF0">
      <w:pPr>
        <w:jc w:val="both"/>
        <w:rPr>
          <w:b/>
          <w:bCs/>
          <w:sz w:val="24"/>
          <w:szCs w:val="24"/>
        </w:rPr>
      </w:pPr>
    </w:p>
    <w:p w:rsidR="0013479D" w:rsidP="00D3198E" w:rsidRDefault="0013479D" w14:paraId="79CE9664" w14:textId="79B5930E">
      <w:pPr>
        <w:jc w:val="both"/>
        <w:rPr>
          <w:sz w:val="24"/>
          <w:szCs w:val="24"/>
        </w:rPr>
      </w:pPr>
      <w:r w:rsidRPr="0013479D">
        <w:rPr>
          <w:sz w:val="24"/>
          <w:szCs w:val="24"/>
          <w:u w:val="single"/>
        </w:rPr>
        <w:t>Tradition 2</w:t>
      </w:r>
      <w:r w:rsidRPr="0013479D">
        <w:rPr>
          <w:sz w:val="24"/>
          <w:szCs w:val="24"/>
        </w:rPr>
        <w:t xml:space="preserve"> states that our leaders do not govern and that the ultimate authority is </w:t>
      </w:r>
      <w:r w:rsidR="001C5FB1">
        <w:t xml:space="preserve">“a loving God as He may express Himself in our group conscience” </w:t>
      </w:r>
      <w:r w:rsidRPr="0013479D">
        <w:rPr>
          <w:sz w:val="24"/>
          <w:szCs w:val="24"/>
        </w:rPr>
        <w:t>expressed through the voice of the AA Group. Any leader who has unchecked authority – whose decisions may not be appealed – clearly “governs” in a strong way.</w:t>
      </w:r>
    </w:p>
    <w:p w:rsidRPr="0013479D" w:rsidR="0013479D" w:rsidP="00D3198E" w:rsidRDefault="0013479D" w14:paraId="1347B6A5" w14:textId="77777777">
      <w:pPr>
        <w:jc w:val="both"/>
        <w:rPr>
          <w:sz w:val="24"/>
          <w:szCs w:val="24"/>
        </w:rPr>
      </w:pPr>
    </w:p>
    <w:p w:rsidRPr="0013479D" w:rsidR="0013479D" w:rsidP="00D3198E" w:rsidRDefault="0013479D" w14:paraId="056C803B" w14:textId="50647826">
      <w:pPr>
        <w:jc w:val="both"/>
        <w:rPr>
          <w:sz w:val="24"/>
          <w:szCs w:val="24"/>
        </w:rPr>
      </w:pPr>
      <w:r w:rsidRPr="1A8F8363">
        <w:rPr>
          <w:sz w:val="24"/>
          <w:szCs w:val="24"/>
          <w:u w:val="single"/>
        </w:rPr>
        <w:t>Concept V</w:t>
      </w:r>
      <w:r w:rsidRPr="1A8F8363">
        <w:rPr>
          <w:sz w:val="24"/>
          <w:szCs w:val="24"/>
        </w:rPr>
        <w:t xml:space="preserve"> guarantees all Conference members the Right of Appeal, which may require a specified process. Bill W. wrote about Concept V, </w:t>
      </w:r>
    </w:p>
    <w:p w:rsidRPr="0013479D" w:rsidR="0013479D" w:rsidP="00D3198E" w:rsidRDefault="00425871" w14:paraId="2E7FFB53" w14:textId="02C2721E">
      <w:pPr>
        <w:ind w:left="720"/>
        <w:jc w:val="both"/>
        <w:rPr>
          <w:sz w:val="24"/>
          <w:szCs w:val="24"/>
        </w:rPr>
      </w:pPr>
      <w:r w:rsidRPr="0013479D">
        <w:rPr>
          <w:sz w:val="24"/>
          <w:szCs w:val="24"/>
        </w:rPr>
        <w:t>Fortunately,</w:t>
      </w:r>
      <w:r w:rsidRPr="0013479D" w:rsidR="0013479D">
        <w:rPr>
          <w:sz w:val="24"/>
          <w:szCs w:val="24"/>
        </w:rPr>
        <w:t xml:space="preserve"> we are not obliged to maintain a government that enforces conformity by inflicting punishments. We need to maintain only a structure of service that holds aloft the Traditions, that forms and executes our policies thereunder, and so steadily carries our message to those who suffer.</w:t>
      </w:r>
    </w:p>
    <w:p w:rsidRPr="0013479D" w:rsidR="0013479D" w:rsidP="00D3198E" w:rsidRDefault="0013479D" w14:paraId="7ED97936" w14:textId="3C6815A2">
      <w:pPr>
        <w:ind w:left="720"/>
        <w:jc w:val="both"/>
        <w:rPr>
          <w:sz w:val="24"/>
          <w:szCs w:val="24"/>
        </w:rPr>
      </w:pPr>
      <w:r w:rsidRPr="0013479D">
        <w:rPr>
          <w:sz w:val="24"/>
          <w:szCs w:val="24"/>
        </w:rPr>
        <w:t xml:space="preserve">Hence we believe that we shall never be subjected to the tyranny of either the majority or the minority, provided we carefully define the relations between them and </w:t>
      </w:r>
      <w:r w:rsidR="001C5FB1">
        <w:rPr>
          <w:sz w:val="24"/>
          <w:szCs w:val="24"/>
        </w:rPr>
        <w:t>forthwith</w:t>
      </w:r>
      <w:r w:rsidRPr="0013479D">
        <w:rPr>
          <w:sz w:val="24"/>
          <w:szCs w:val="24"/>
        </w:rPr>
        <w:t xml:space="preserve"> tread the path of world service in the spirit of our Twelve Steps, our Twelve Traditions, and our Conference Charter - in which I trust we shall one day inscribe these traditional Rights of ‘Appeal’ and ‘Petition.’</w:t>
      </w:r>
      <w:r>
        <w:rPr>
          <w:rStyle w:val="FootnoteReference"/>
          <w:sz w:val="24"/>
          <w:szCs w:val="24"/>
        </w:rPr>
        <w:footnoteReference w:id="1"/>
      </w:r>
    </w:p>
    <w:p w:rsidR="0013479D" w:rsidP="00D3198E" w:rsidRDefault="0013479D" w14:paraId="598EF5B5" w14:textId="053F9CAD">
      <w:pPr>
        <w:jc w:val="both"/>
        <w:rPr>
          <w:sz w:val="24"/>
          <w:szCs w:val="24"/>
        </w:rPr>
      </w:pPr>
      <w:r w:rsidRPr="0013479D">
        <w:rPr>
          <w:sz w:val="24"/>
          <w:szCs w:val="24"/>
        </w:rPr>
        <w:t xml:space="preserve">Because “problem, consternation, prayer and reflection, discussion and discernment, and [present] action” have happened in this case, a specified process is indeed needed now – otherwise the issue would not have come up. What kind of process can be developed that both protects the authority of the </w:t>
      </w:r>
      <w:r w:rsidR="00DA0671">
        <w:rPr>
          <w:sz w:val="24"/>
          <w:szCs w:val="24"/>
        </w:rPr>
        <w:t>Chair</w:t>
      </w:r>
      <w:r w:rsidRPr="0013479D">
        <w:rPr>
          <w:sz w:val="24"/>
          <w:szCs w:val="24"/>
        </w:rPr>
        <w:t xml:space="preserve"> to run an effective meeting, yet ensures the “Right of Appeal” when a legitimate appeal of a ruling of the </w:t>
      </w:r>
      <w:r w:rsidR="00DA0671">
        <w:rPr>
          <w:sz w:val="24"/>
          <w:szCs w:val="24"/>
        </w:rPr>
        <w:t>Chair</w:t>
      </w:r>
      <w:r w:rsidRPr="0013479D">
        <w:rPr>
          <w:sz w:val="24"/>
          <w:szCs w:val="24"/>
        </w:rPr>
        <w:t xml:space="preserve"> is deemed necessary? </w:t>
      </w:r>
    </w:p>
    <w:p w:rsidR="0013479D" w:rsidP="00D3198E" w:rsidRDefault="0013479D" w14:paraId="0DC1595D" w14:textId="4D8DFC9B">
      <w:pPr>
        <w:jc w:val="both"/>
        <w:rPr>
          <w:sz w:val="24"/>
          <w:szCs w:val="24"/>
        </w:rPr>
      </w:pPr>
    </w:p>
    <w:p w:rsidR="00465A4D" w:rsidP="00D3198E" w:rsidRDefault="0013479D" w14:paraId="6E75FC34" w14:textId="19B3BBBF">
      <w:pPr>
        <w:jc w:val="both"/>
        <w:rPr>
          <w:sz w:val="24"/>
          <w:szCs w:val="24"/>
        </w:rPr>
      </w:pPr>
      <w:r>
        <w:rPr>
          <w:sz w:val="24"/>
          <w:szCs w:val="24"/>
          <w:u w:val="single"/>
        </w:rPr>
        <w:t xml:space="preserve">Concept VII </w:t>
      </w:r>
      <w:r w:rsidRPr="0028221D">
        <w:rPr>
          <w:sz w:val="24"/>
          <w:szCs w:val="24"/>
        </w:rPr>
        <w:t xml:space="preserve">reminds us </w:t>
      </w:r>
      <w:r w:rsidRPr="0028221D" w:rsidR="00465A4D">
        <w:rPr>
          <w:sz w:val="24"/>
          <w:szCs w:val="24"/>
        </w:rPr>
        <w:t>“</w:t>
      </w:r>
      <w:r w:rsidR="001C5FB1">
        <w:rPr>
          <w:sz w:val="24"/>
          <w:szCs w:val="24"/>
        </w:rPr>
        <w:t>…AA’s</w:t>
      </w:r>
      <w:r w:rsidRPr="0028221D">
        <w:rPr>
          <w:sz w:val="24"/>
          <w:szCs w:val="24"/>
        </w:rPr>
        <w:t xml:space="preserve"> General Service Conference is clothed with such great tradition influence and financial power that, if necessary, it could overcome the legal rights of the Board of Trustees. It can therefore give the Trustees directives and secure compliance with them-practically speaking</w:t>
      </w:r>
      <w:r w:rsidRPr="0028221D" w:rsidR="00465A4D">
        <w:rPr>
          <w:sz w:val="24"/>
          <w:szCs w:val="24"/>
        </w:rPr>
        <w:t>”</w:t>
      </w:r>
      <w:r w:rsidRPr="0028221D" w:rsidR="00F8390A">
        <w:rPr>
          <w:rStyle w:val="FootnoteReference"/>
          <w:sz w:val="24"/>
          <w:szCs w:val="24"/>
        </w:rPr>
        <w:footnoteReference w:id="2"/>
      </w:r>
      <w:r w:rsidRPr="0028221D" w:rsidR="00465A4D">
        <w:rPr>
          <w:sz w:val="24"/>
          <w:szCs w:val="24"/>
        </w:rPr>
        <w:t xml:space="preserve"> and further “</w:t>
      </w:r>
      <w:r w:rsidR="001D55C6">
        <w:rPr>
          <w:sz w:val="24"/>
          <w:szCs w:val="24"/>
        </w:rPr>
        <w:t xml:space="preserve">As </w:t>
      </w:r>
      <w:r w:rsidRPr="00465A4D" w:rsidR="00465A4D">
        <w:rPr>
          <w:sz w:val="24"/>
          <w:szCs w:val="24"/>
        </w:rPr>
        <w:t>the conscience of AA, the Delegates would find themselves in ultimate authority over our General Service Board and also its corporate arms of active world service</w:t>
      </w:r>
      <w:r w:rsidR="00465A4D">
        <w:rPr>
          <w:sz w:val="24"/>
          <w:szCs w:val="24"/>
        </w:rPr>
        <w:t>.”</w:t>
      </w:r>
      <w:r w:rsidR="00465A4D">
        <w:rPr>
          <w:rStyle w:val="FootnoteReference"/>
          <w:sz w:val="24"/>
          <w:szCs w:val="24"/>
        </w:rPr>
        <w:footnoteReference w:id="3"/>
      </w:r>
    </w:p>
    <w:p w:rsidR="00465A4D" w:rsidP="00D3198E" w:rsidRDefault="00465A4D" w14:paraId="62241D64" w14:textId="77777777">
      <w:pPr>
        <w:jc w:val="both"/>
        <w:rPr>
          <w:sz w:val="24"/>
          <w:szCs w:val="24"/>
        </w:rPr>
      </w:pPr>
    </w:p>
    <w:p w:rsidRPr="0013479D" w:rsidR="0013479D" w:rsidP="00D3198E" w:rsidRDefault="0013479D" w14:paraId="033D500E" w14:textId="3F595BD0">
      <w:pPr>
        <w:jc w:val="both"/>
        <w:rPr>
          <w:sz w:val="24"/>
          <w:szCs w:val="24"/>
        </w:rPr>
      </w:pPr>
      <w:r w:rsidRPr="0013479D">
        <w:rPr>
          <w:sz w:val="24"/>
          <w:szCs w:val="24"/>
          <w:u w:val="single"/>
        </w:rPr>
        <w:t>Warranty Three</w:t>
      </w:r>
      <w:r w:rsidRPr="0013479D">
        <w:rPr>
          <w:i/>
          <w:iCs/>
          <w:sz w:val="24"/>
          <w:szCs w:val="24"/>
        </w:rPr>
        <w:t xml:space="preserve"> </w:t>
      </w:r>
      <w:r w:rsidRPr="0013479D">
        <w:rPr>
          <w:sz w:val="24"/>
          <w:szCs w:val="24"/>
        </w:rPr>
        <w:t xml:space="preserve">states that “None of the Conference members shall ever be placed in a position of unqualified authority over any of the others.” Bill cites the importance of this principle by writing, </w:t>
      </w:r>
    </w:p>
    <w:p w:rsidRPr="0013479D" w:rsidR="0013479D" w:rsidP="00D3198E" w:rsidRDefault="0013479D" w14:paraId="6234D91D" w14:textId="5B983557">
      <w:pPr>
        <w:ind w:left="720"/>
        <w:jc w:val="both"/>
        <w:rPr>
          <w:sz w:val="24"/>
          <w:szCs w:val="24"/>
        </w:rPr>
      </w:pPr>
      <w:r w:rsidRPr="0013479D">
        <w:rPr>
          <w:sz w:val="24"/>
          <w:szCs w:val="24"/>
        </w:rPr>
        <w:t xml:space="preserve">We have learned that this principle is of incalculable value to the harmonious conduct of our Conference affairs…our world servants, both as </w:t>
      </w:r>
      <w:r w:rsidR="002E1A3B">
        <w:rPr>
          <w:sz w:val="24"/>
          <w:szCs w:val="24"/>
        </w:rPr>
        <w:t xml:space="preserve">individuals </w:t>
      </w:r>
      <w:r w:rsidRPr="0013479D">
        <w:rPr>
          <w:sz w:val="24"/>
          <w:szCs w:val="24"/>
        </w:rPr>
        <w:t>and as groups, shall be entitled to voting rights in reasonable proportion to their several responsibilities.</w:t>
      </w:r>
    </w:p>
    <w:p w:rsidRPr="0013479D" w:rsidR="0013479D" w:rsidP="00D3198E" w:rsidRDefault="0013479D" w14:paraId="207A17F0" w14:textId="6EFA7D6E">
      <w:pPr>
        <w:ind w:left="720"/>
        <w:jc w:val="both"/>
        <w:rPr>
          <w:sz w:val="24"/>
          <w:szCs w:val="24"/>
        </w:rPr>
      </w:pPr>
      <w:r w:rsidRPr="001D7445">
        <w:rPr>
          <w:sz w:val="24"/>
          <w:szCs w:val="24"/>
        </w:rPr>
        <w:t>Because this right</w:t>
      </w:r>
      <w:r w:rsidRPr="0013479D">
        <w:rPr>
          <w:sz w:val="24"/>
          <w:szCs w:val="24"/>
        </w:rPr>
        <w:t xml:space="preserve"> of participation is so important, we have made it the subject of this Warranty, </w:t>
      </w:r>
      <w:r w:rsidR="002E1A3B">
        <w:rPr>
          <w:sz w:val="24"/>
          <w:szCs w:val="24"/>
        </w:rPr>
        <w:t xml:space="preserve">thus </w:t>
      </w:r>
      <w:r w:rsidRPr="0013479D">
        <w:rPr>
          <w:sz w:val="24"/>
          <w:szCs w:val="24"/>
        </w:rPr>
        <w:t xml:space="preserve">providing insurance that Conference action alone can never </w:t>
      </w:r>
      <w:r w:rsidRPr="0013479D">
        <w:rPr>
          <w:sz w:val="24"/>
          <w:szCs w:val="24"/>
        </w:rPr>
        <w:lastRenderedPageBreak/>
        <w:t xml:space="preserve">overturn or amend </w:t>
      </w:r>
      <w:r w:rsidR="002E1A3B">
        <w:rPr>
          <w:sz w:val="24"/>
          <w:szCs w:val="24"/>
        </w:rPr>
        <w:t>this right</w:t>
      </w:r>
      <w:r w:rsidR="001D55C6">
        <w:rPr>
          <w:sz w:val="24"/>
          <w:szCs w:val="24"/>
        </w:rPr>
        <w:t>…</w:t>
      </w:r>
    </w:p>
    <w:p w:rsidRPr="0013479D" w:rsidR="0013479D" w:rsidP="00D3198E" w:rsidRDefault="0013479D" w14:paraId="06F519F9" w14:textId="5C1483F9">
      <w:pPr>
        <w:ind w:left="720"/>
        <w:jc w:val="both"/>
        <w:rPr>
          <w:sz w:val="24"/>
          <w:szCs w:val="24"/>
        </w:rPr>
      </w:pPr>
      <w:r w:rsidRPr="0013479D">
        <w:rPr>
          <w:sz w:val="24"/>
          <w:szCs w:val="24"/>
        </w:rPr>
        <w:t>The voting rights urged under our concept of ‘Participation’ are simply the practical means of checking any future tendency to an unqualified authority of any sort.</w:t>
      </w:r>
      <w:r>
        <w:rPr>
          <w:rStyle w:val="FootnoteReference"/>
          <w:sz w:val="24"/>
          <w:szCs w:val="24"/>
        </w:rPr>
        <w:footnoteReference w:id="4"/>
      </w:r>
    </w:p>
    <w:p w:rsidR="00FE5317" w:rsidP="00D3198E" w:rsidRDefault="0013479D" w14:paraId="512A9AE6" w14:textId="70A83631">
      <w:pPr>
        <w:jc w:val="both"/>
        <w:rPr>
          <w:sz w:val="24"/>
          <w:szCs w:val="24"/>
        </w:rPr>
      </w:pPr>
      <w:r w:rsidRPr="1A8F8363">
        <w:rPr>
          <w:sz w:val="24"/>
          <w:szCs w:val="24"/>
        </w:rPr>
        <w:t xml:space="preserve">The </w:t>
      </w:r>
      <w:r w:rsidR="00DA0671">
        <w:rPr>
          <w:sz w:val="24"/>
          <w:szCs w:val="24"/>
        </w:rPr>
        <w:t>Chair</w:t>
      </w:r>
      <w:r w:rsidRPr="1A8F8363">
        <w:rPr>
          <w:sz w:val="24"/>
          <w:szCs w:val="24"/>
        </w:rPr>
        <w:t xml:space="preserve"> is still a member of the Conference and as such does not have unqualified authority over others.  When it is perceived that </w:t>
      </w:r>
      <w:r w:rsidR="00DA0671">
        <w:rPr>
          <w:sz w:val="24"/>
          <w:szCs w:val="24"/>
        </w:rPr>
        <w:t>the Chair</w:t>
      </w:r>
      <w:r w:rsidRPr="1A8F8363">
        <w:rPr>
          <w:sz w:val="24"/>
          <w:szCs w:val="24"/>
        </w:rPr>
        <w:t xml:space="preserve"> has </w:t>
      </w:r>
      <w:r w:rsidR="00DA0671">
        <w:rPr>
          <w:sz w:val="24"/>
          <w:szCs w:val="24"/>
        </w:rPr>
        <w:t>exercised such authority</w:t>
      </w:r>
      <w:r w:rsidRPr="1A8F8363">
        <w:rPr>
          <w:sz w:val="24"/>
          <w:szCs w:val="24"/>
        </w:rPr>
        <w:t xml:space="preserve">, it is incumbent a </w:t>
      </w:r>
      <w:r w:rsidRPr="1A8F8363" w:rsidR="1DAE6B37">
        <w:rPr>
          <w:sz w:val="24"/>
          <w:szCs w:val="24"/>
        </w:rPr>
        <w:t xml:space="preserve">clear </w:t>
      </w:r>
      <w:r w:rsidRPr="1A8F8363">
        <w:rPr>
          <w:sz w:val="24"/>
          <w:szCs w:val="24"/>
        </w:rPr>
        <w:t>process</w:t>
      </w:r>
      <w:r w:rsidRPr="1A8F8363" w:rsidR="1E2638AE">
        <w:rPr>
          <w:sz w:val="24"/>
          <w:szCs w:val="24"/>
        </w:rPr>
        <w:t xml:space="preserve"> be established</w:t>
      </w:r>
      <w:r w:rsidRPr="1A8F8363">
        <w:rPr>
          <w:sz w:val="24"/>
          <w:szCs w:val="24"/>
        </w:rPr>
        <w:t xml:space="preserve"> to protect this Warranty.</w:t>
      </w:r>
    </w:p>
    <w:p w:rsidR="00FE5317" w:rsidP="00D3198E" w:rsidRDefault="00FE5317" w14:paraId="18B04640" w14:textId="77777777">
      <w:pPr>
        <w:jc w:val="both"/>
        <w:rPr>
          <w:sz w:val="24"/>
          <w:szCs w:val="24"/>
        </w:rPr>
      </w:pPr>
    </w:p>
    <w:p w:rsidR="00465A4D" w:rsidP="00D3198E" w:rsidRDefault="00465A4D" w14:paraId="7E60149C" w14:textId="22E8CCCA">
      <w:pPr>
        <w:jc w:val="both"/>
        <w:rPr>
          <w:sz w:val="24"/>
          <w:szCs w:val="24"/>
        </w:rPr>
      </w:pPr>
      <w:r w:rsidRPr="1A8F8363">
        <w:rPr>
          <w:sz w:val="24"/>
          <w:szCs w:val="24"/>
        </w:rPr>
        <w:t>In examining the Bylaws of the General Service Board,</w:t>
      </w:r>
      <w:r w:rsidRPr="1A8F8363" w:rsidR="004554A6">
        <w:rPr>
          <w:sz w:val="24"/>
          <w:szCs w:val="24"/>
        </w:rPr>
        <w:t xml:space="preserve"> we see the proper functions, from where the authority derives, </w:t>
      </w:r>
      <w:r w:rsidRPr="1A8F8363" w:rsidR="07905B8F">
        <w:rPr>
          <w:sz w:val="24"/>
          <w:szCs w:val="24"/>
        </w:rPr>
        <w:t>t</w:t>
      </w:r>
      <w:r w:rsidRPr="1A8F8363" w:rsidR="004554A6">
        <w:rPr>
          <w:sz w:val="24"/>
          <w:szCs w:val="24"/>
        </w:rPr>
        <w:t>hat guides decisions and the awesome responsibility of being the Guardians of the Twelve Traditions.</w:t>
      </w:r>
    </w:p>
    <w:p w:rsidR="004554A6" w:rsidP="00D3198E" w:rsidRDefault="004554A6" w14:paraId="52802E37" w14:textId="11BDEFFE">
      <w:pPr>
        <w:jc w:val="both"/>
        <w:rPr>
          <w:sz w:val="24"/>
          <w:szCs w:val="24"/>
        </w:rPr>
      </w:pPr>
      <w:r>
        <w:rPr>
          <w:sz w:val="24"/>
          <w:szCs w:val="24"/>
        </w:rPr>
        <w:tab/>
      </w:r>
      <w:r>
        <w:rPr>
          <w:sz w:val="24"/>
          <w:szCs w:val="24"/>
        </w:rPr>
        <w:t>“</w:t>
      </w:r>
      <w:r w:rsidRPr="004554A6">
        <w:rPr>
          <w:sz w:val="24"/>
          <w:szCs w:val="24"/>
        </w:rPr>
        <w:t xml:space="preserve">The General Service </w:t>
      </w:r>
      <w:r w:rsidR="002E1A3B">
        <w:rPr>
          <w:sz w:val="24"/>
          <w:szCs w:val="24"/>
        </w:rPr>
        <w:t xml:space="preserve">Board of Alcoholics Anonymous, Inc., now has </w:t>
      </w:r>
      <w:r w:rsidRPr="004554A6">
        <w:rPr>
          <w:sz w:val="24"/>
          <w:szCs w:val="24"/>
        </w:rPr>
        <w:t>but one purpose, that of serving the Fellowship of Alcoholics Anonymous.</w:t>
      </w:r>
      <w:r>
        <w:rPr>
          <w:sz w:val="24"/>
          <w:szCs w:val="24"/>
        </w:rPr>
        <w:t>”</w:t>
      </w:r>
      <w:r>
        <w:rPr>
          <w:rStyle w:val="FootnoteReference"/>
          <w:sz w:val="24"/>
          <w:szCs w:val="24"/>
        </w:rPr>
        <w:footnoteReference w:id="5"/>
      </w:r>
    </w:p>
    <w:p w:rsidR="004554A6" w:rsidP="00D3198E" w:rsidRDefault="004554A6" w14:paraId="47774E04" w14:textId="5756EF2C">
      <w:pPr>
        <w:jc w:val="both"/>
        <w:rPr>
          <w:sz w:val="24"/>
          <w:szCs w:val="24"/>
        </w:rPr>
      </w:pPr>
      <w:r>
        <w:rPr>
          <w:sz w:val="24"/>
          <w:szCs w:val="24"/>
        </w:rPr>
        <w:tab/>
      </w:r>
      <w:r>
        <w:rPr>
          <w:sz w:val="24"/>
          <w:szCs w:val="24"/>
        </w:rPr>
        <w:t>“</w:t>
      </w:r>
      <w:r w:rsidRPr="00E63C33" w:rsidR="00E63C33">
        <w:rPr>
          <w:sz w:val="24"/>
          <w:szCs w:val="24"/>
        </w:rPr>
        <w:t xml:space="preserve">Members of the General Service Conference of Alcoholics Anonymous are hereinafter referred to as “Conference </w:t>
      </w:r>
      <w:r w:rsidR="002E1A3B">
        <w:rPr>
          <w:sz w:val="24"/>
          <w:szCs w:val="24"/>
        </w:rPr>
        <w:t>de</w:t>
      </w:r>
      <w:r w:rsidRPr="00E63C33" w:rsidR="00E63C33">
        <w:rPr>
          <w:sz w:val="24"/>
          <w:szCs w:val="24"/>
        </w:rPr>
        <w:t>legates</w:t>
      </w:r>
      <w:r w:rsidR="00E63C33">
        <w:rPr>
          <w:sz w:val="24"/>
          <w:szCs w:val="24"/>
        </w:rPr>
        <w:t>.”</w:t>
      </w:r>
      <w:r w:rsidR="00E63C33">
        <w:rPr>
          <w:rStyle w:val="FootnoteReference"/>
          <w:sz w:val="24"/>
          <w:szCs w:val="24"/>
        </w:rPr>
        <w:footnoteReference w:id="6"/>
      </w:r>
    </w:p>
    <w:p w:rsidR="00E63C33" w:rsidP="00D3198E" w:rsidRDefault="00E63C33" w14:paraId="03B5FB2B" w14:textId="5B633D27">
      <w:pPr>
        <w:jc w:val="both"/>
        <w:rPr>
          <w:sz w:val="24"/>
          <w:szCs w:val="24"/>
        </w:rPr>
      </w:pPr>
      <w:r>
        <w:rPr>
          <w:sz w:val="24"/>
          <w:szCs w:val="24"/>
        </w:rPr>
        <w:tab/>
      </w:r>
      <w:r>
        <w:rPr>
          <w:sz w:val="24"/>
          <w:szCs w:val="24"/>
        </w:rPr>
        <w:t>“</w:t>
      </w:r>
      <w:r w:rsidRPr="00E63C33">
        <w:rPr>
          <w:sz w:val="24"/>
          <w:szCs w:val="24"/>
        </w:rPr>
        <w:t xml:space="preserve">The General Service Board in its deliberations and decisions shall be guided by the Twelve Traditions of Alcoholics Anonymous, hereinafter referred to as the </w:t>
      </w:r>
      <w:r>
        <w:rPr>
          <w:sz w:val="24"/>
          <w:szCs w:val="24"/>
        </w:rPr>
        <w:t>‘</w:t>
      </w:r>
      <w:r w:rsidRPr="00E63C33">
        <w:rPr>
          <w:sz w:val="24"/>
          <w:szCs w:val="24"/>
        </w:rPr>
        <w:t>Traditions</w:t>
      </w:r>
      <w:r>
        <w:rPr>
          <w:sz w:val="24"/>
          <w:szCs w:val="24"/>
        </w:rPr>
        <w:t>’”</w:t>
      </w:r>
      <w:r>
        <w:rPr>
          <w:rStyle w:val="FootnoteReference"/>
          <w:sz w:val="24"/>
          <w:szCs w:val="24"/>
        </w:rPr>
        <w:footnoteReference w:id="7"/>
      </w:r>
    </w:p>
    <w:p w:rsidR="00E63C33" w:rsidP="00D3198E" w:rsidRDefault="00E63C33" w14:paraId="092DE87F" w14:textId="462CB3CC">
      <w:pPr>
        <w:ind w:firstLine="720"/>
        <w:jc w:val="both"/>
        <w:rPr>
          <w:sz w:val="24"/>
          <w:szCs w:val="24"/>
        </w:rPr>
      </w:pPr>
      <w:r>
        <w:rPr>
          <w:sz w:val="24"/>
          <w:szCs w:val="24"/>
        </w:rPr>
        <w:t>“</w:t>
      </w:r>
      <w:r w:rsidRPr="00E63C33">
        <w:rPr>
          <w:sz w:val="24"/>
          <w:szCs w:val="24"/>
        </w:rPr>
        <w:t>The General Service Board shall use its best efforts to insure that these Twelve Traditions are maintained, for it is regarded by the Fellowship of Alcoholics Anonymous as the custodian of these Traditions and, accordingly, it shall not itself nor, so far as it is within the power so to do, permit others to modify, alter, or amplify these Traditions, except in keeping with the provisions of the Charter.</w:t>
      </w:r>
      <w:r>
        <w:rPr>
          <w:sz w:val="24"/>
          <w:szCs w:val="24"/>
        </w:rPr>
        <w:t>”</w:t>
      </w:r>
      <w:r>
        <w:rPr>
          <w:rStyle w:val="FootnoteReference"/>
          <w:sz w:val="24"/>
          <w:szCs w:val="24"/>
        </w:rPr>
        <w:footnoteReference w:id="8"/>
      </w:r>
    </w:p>
    <w:p w:rsidR="0049794D" w:rsidP="00D3198E" w:rsidRDefault="0049794D" w14:paraId="3BFA73B3" w14:textId="123564A9">
      <w:pPr>
        <w:ind w:firstLine="720"/>
        <w:jc w:val="both"/>
        <w:rPr>
          <w:sz w:val="24"/>
          <w:szCs w:val="24"/>
        </w:rPr>
      </w:pPr>
    </w:p>
    <w:p w:rsidRPr="0049794D" w:rsidR="0049794D" w:rsidP="00D3198E" w:rsidRDefault="0049794D" w14:paraId="49219DFB" w14:textId="5744A749">
      <w:pPr>
        <w:jc w:val="both"/>
        <w:rPr>
          <w:sz w:val="24"/>
          <w:szCs w:val="24"/>
        </w:rPr>
      </w:pPr>
      <w:r>
        <w:rPr>
          <w:sz w:val="24"/>
          <w:szCs w:val="24"/>
        </w:rPr>
        <w:t xml:space="preserve">The Conference Charter speaks of the Conference relation to the whole of A.A. and the importance of the </w:t>
      </w:r>
      <w:r w:rsidR="002E1A3B">
        <w:rPr>
          <w:sz w:val="24"/>
          <w:szCs w:val="24"/>
        </w:rPr>
        <w:t>Del</w:t>
      </w:r>
      <w:r>
        <w:rPr>
          <w:sz w:val="24"/>
          <w:szCs w:val="24"/>
        </w:rPr>
        <w:t>egate vote. “</w:t>
      </w:r>
      <w:r w:rsidRPr="0049794D">
        <w:rPr>
          <w:sz w:val="24"/>
          <w:szCs w:val="24"/>
        </w:rPr>
        <w:t>The Conference will act for A.A. in the perpetuation</w:t>
      </w:r>
    </w:p>
    <w:p w:rsidR="0049794D" w:rsidP="00D3198E" w:rsidRDefault="0049794D" w14:paraId="25635793" w14:textId="30364B64">
      <w:pPr>
        <w:jc w:val="both"/>
        <w:rPr>
          <w:sz w:val="24"/>
          <w:szCs w:val="24"/>
        </w:rPr>
      </w:pPr>
      <w:r w:rsidRPr="0049794D">
        <w:rPr>
          <w:sz w:val="24"/>
          <w:szCs w:val="24"/>
        </w:rPr>
        <w:t>and guidance of its world services, and it will also be the vehicle by which the A.A. movement</w:t>
      </w:r>
      <w:r>
        <w:rPr>
          <w:sz w:val="24"/>
          <w:szCs w:val="24"/>
        </w:rPr>
        <w:t xml:space="preserve"> </w:t>
      </w:r>
      <w:r w:rsidRPr="0049794D">
        <w:rPr>
          <w:sz w:val="24"/>
          <w:szCs w:val="24"/>
        </w:rPr>
        <w:t>can express its view upon all matters of vital A.A. policy and all hazardous deviations</w:t>
      </w:r>
      <w:r>
        <w:rPr>
          <w:sz w:val="24"/>
          <w:szCs w:val="24"/>
        </w:rPr>
        <w:t xml:space="preserve"> </w:t>
      </w:r>
      <w:r w:rsidRPr="0049794D">
        <w:rPr>
          <w:sz w:val="24"/>
          <w:szCs w:val="24"/>
        </w:rPr>
        <w:t>from A.A. Tradition. Delegates should be free to vote as their conscience dictates; they</w:t>
      </w:r>
      <w:r>
        <w:rPr>
          <w:sz w:val="24"/>
          <w:szCs w:val="24"/>
        </w:rPr>
        <w:t xml:space="preserve"> </w:t>
      </w:r>
      <w:r w:rsidRPr="0049794D">
        <w:rPr>
          <w:sz w:val="24"/>
          <w:szCs w:val="24"/>
        </w:rPr>
        <w:t>should also be free to decide what questions should be taken to the group level, whether</w:t>
      </w:r>
      <w:r>
        <w:rPr>
          <w:sz w:val="24"/>
          <w:szCs w:val="24"/>
        </w:rPr>
        <w:t xml:space="preserve"> </w:t>
      </w:r>
      <w:r w:rsidRPr="0049794D">
        <w:rPr>
          <w:sz w:val="24"/>
          <w:szCs w:val="24"/>
        </w:rPr>
        <w:t>for information, discussion, or their own direct instruction.</w:t>
      </w:r>
      <w:r>
        <w:rPr>
          <w:sz w:val="24"/>
          <w:szCs w:val="24"/>
        </w:rPr>
        <w:t>”</w:t>
      </w:r>
      <w:r>
        <w:rPr>
          <w:rStyle w:val="FootnoteReference"/>
          <w:sz w:val="24"/>
          <w:szCs w:val="24"/>
        </w:rPr>
        <w:footnoteReference w:id="9"/>
      </w:r>
    </w:p>
    <w:p w:rsidR="0049794D" w:rsidP="00D3198E" w:rsidRDefault="0049794D" w14:paraId="2DF71997" w14:textId="7B9D7CA9">
      <w:pPr>
        <w:jc w:val="both"/>
        <w:rPr>
          <w:sz w:val="24"/>
          <w:szCs w:val="24"/>
        </w:rPr>
      </w:pPr>
    </w:p>
    <w:p w:rsidR="00503692" w:rsidP="00D3198E" w:rsidRDefault="0049794D" w14:paraId="63C4522F" w14:textId="58051A41">
      <w:pPr>
        <w:jc w:val="both"/>
        <w:rPr>
          <w:sz w:val="24"/>
          <w:szCs w:val="24"/>
        </w:rPr>
      </w:pPr>
      <w:r w:rsidRPr="00227BF9">
        <w:t xml:space="preserve">The Charter cautions the Conference to always be mindful of the spirit of A.A. Tradition ”In all its proceedings, the General Service Conference shall observe the spirit of the A.A. Tradition, taking great care that the Conference never becomes the seat of perilous wealth or power; that sufficient operating funds, plus an ample reserve, be its prudent financial principle; that none of the Conference members shall ever be placed in a position of unqualified authority over any of the others; that all important decisions be reached by discussion, vote, and, whenever possible, by substantial unanimity; that no Conference action ever be personally punitive or an incitement to public controversy; that though the Conference may act for the service of Alcoholics Anonymous, it shall never perform any acts of government; and that, like the Society of Alcoholics Anonymous </w:t>
      </w:r>
      <w:r w:rsidRPr="00227BF9">
        <w:lastRenderedPageBreak/>
        <w:t>which it serves</w:t>
      </w:r>
      <w:r w:rsidRPr="0049794D">
        <w:rPr>
          <w:sz w:val="24"/>
          <w:szCs w:val="24"/>
        </w:rPr>
        <w:t xml:space="preserve">, </w:t>
      </w:r>
      <w:r w:rsidRPr="00227BF9">
        <w:t>the Conference itself will always remain democratic in thought and</w:t>
      </w:r>
      <w:r w:rsidRPr="0049794D">
        <w:rPr>
          <w:sz w:val="24"/>
          <w:szCs w:val="24"/>
        </w:rPr>
        <w:t xml:space="preserve"> action.</w:t>
      </w:r>
      <w:r w:rsidR="00503692">
        <w:rPr>
          <w:sz w:val="24"/>
          <w:szCs w:val="24"/>
        </w:rPr>
        <w:t>”</w:t>
      </w:r>
      <w:r w:rsidR="00503692">
        <w:rPr>
          <w:rStyle w:val="FootnoteReference"/>
          <w:sz w:val="24"/>
          <w:szCs w:val="24"/>
        </w:rPr>
        <w:footnoteReference w:id="10"/>
      </w:r>
    </w:p>
    <w:p w:rsidR="00503692" w:rsidP="00D3198E" w:rsidRDefault="00503692" w14:paraId="0FA6BE26" w14:textId="0AD97B05">
      <w:pPr>
        <w:jc w:val="both"/>
        <w:rPr>
          <w:sz w:val="24"/>
          <w:szCs w:val="24"/>
        </w:rPr>
      </w:pPr>
    </w:p>
    <w:p w:rsidR="00503692" w:rsidP="00D3198E" w:rsidRDefault="00503692" w14:paraId="54511FAB" w14:textId="4738CD72">
      <w:pPr>
        <w:jc w:val="both"/>
        <w:rPr>
          <w:sz w:val="24"/>
          <w:szCs w:val="24"/>
        </w:rPr>
      </w:pPr>
    </w:p>
    <w:p w:rsidRPr="003D7373" w:rsidR="006279CE" w:rsidP="008A3391" w:rsidRDefault="009A16B0" w14:paraId="1E0B569B" w14:textId="12CB2976">
      <w:pPr>
        <w:shd w:val="clear" w:color="auto" w:fill="FFFFFF"/>
        <w:spacing w:after="300"/>
        <w:jc w:val="both"/>
        <w:rPr>
          <w:rFonts w:eastAsia="Times New Roman"/>
          <w:color w:val="1E1E1E"/>
          <w:sz w:val="24"/>
          <w:szCs w:val="24"/>
        </w:rPr>
      </w:pPr>
      <w:r>
        <w:rPr>
          <w:rFonts w:eastAsia="Times New Roman"/>
          <w:color w:val="1E1E1E"/>
          <w:sz w:val="24"/>
          <w:szCs w:val="24"/>
        </w:rPr>
        <w:t xml:space="preserve">Robert’s Rules of Order speaks to this Issue. </w:t>
      </w:r>
      <w:r w:rsidRPr="003D7373" w:rsidR="006279CE">
        <w:rPr>
          <w:rFonts w:eastAsia="Times New Roman"/>
          <w:color w:val="1E1E1E"/>
          <w:sz w:val="24"/>
          <w:szCs w:val="24"/>
        </w:rPr>
        <w:t>The “motion to appeal” is one of the le</w:t>
      </w:r>
      <w:r w:rsidR="006279CE">
        <w:rPr>
          <w:rFonts w:eastAsia="Times New Roman"/>
          <w:color w:val="1E1E1E"/>
          <w:sz w:val="24"/>
          <w:szCs w:val="24"/>
        </w:rPr>
        <w:t xml:space="preserve">sser </w:t>
      </w:r>
      <w:r w:rsidRPr="003D7373" w:rsidR="006279CE">
        <w:rPr>
          <w:rFonts w:eastAsia="Times New Roman"/>
          <w:color w:val="1E1E1E"/>
          <w:sz w:val="24"/>
          <w:szCs w:val="24"/>
        </w:rPr>
        <w:t>known motions in Robert’s Rules of Order</w:t>
      </w:r>
      <w:r w:rsidR="006279CE">
        <w:rPr>
          <w:rFonts w:eastAsia="Times New Roman"/>
          <w:color w:val="1E1E1E"/>
          <w:sz w:val="24"/>
          <w:szCs w:val="24"/>
        </w:rPr>
        <w:t>.</w:t>
      </w:r>
      <w:r w:rsidRPr="003D7373" w:rsidR="006279CE">
        <w:rPr>
          <w:rFonts w:eastAsia="Times New Roman"/>
          <w:color w:val="1E1E1E"/>
          <w:sz w:val="24"/>
          <w:szCs w:val="24"/>
        </w:rPr>
        <w:t xml:space="preserve"> All of us are very familiar with the role of the </w:t>
      </w:r>
      <w:r w:rsidR="002E1A3B">
        <w:rPr>
          <w:rFonts w:eastAsia="Times New Roman"/>
          <w:color w:val="1E1E1E"/>
          <w:sz w:val="24"/>
          <w:szCs w:val="24"/>
        </w:rPr>
        <w:t>C</w:t>
      </w:r>
      <w:r w:rsidRPr="003D7373" w:rsidR="006279CE">
        <w:rPr>
          <w:rFonts w:eastAsia="Times New Roman"/>
          <w:color w:val="1E1E1E"/>
          <w:sz w:val="24"/>
          <w:szCs w:val="24"/>
        </w:rPr>
        <w:t xml:space="preserve">hair of the meeting. Under Robert’s Rules of Order, the </w:t>
      </w:r>
      <w:r w:rsidR="002E1A3B">
        <w:rPr>
          <w:rFonts w:eastAsia="Times New Roman"/>
          <w:color w:val="1E1E1E"/>
          <w:sz w:val="24"/>
          <w:szCs w:val="24"/>
        </w:rPr>
        <w:t>C</w:t>
      </w:r>
      <w:r w:rsidRPr="003D7373" w:rsidR="006279CE">
        <w:rPr>
          <w:rFonts w:eastAsia="Times New Roman"/>
          <w:color w:val="1E1E1E"/>
          <w:sz w:val="24"/>
          <w:szCs w:val="24"/>
        </w:rPr>
        <w:t xml:space="preserve">hair has the duty of keeping things on track. </w:t>
      </w:r>
      <w:r w:rsidR="006279CE">
        <w:rPr>
          <w:rFonts w:eastAsia="Times New Roman"/>
          <w:color w:val="1E1E1E"/>
          <w:sz w:val="24"/>
          <w:szCs w:val="24"/>
        </w:rPr>
        <w:t xml:space="preserve">The Chair </w:t>
      </w:r>
      <w:r w:rsidRPr="003D7373" w:rsidR="006279CE">
        <w:rPr>
          <w:rFonts w:eastAsia="Times New Roman"/>
          <w:color w:val="1E1E1E"/>
          <w:sz w:val="24"/>
          <w:szCs w:val="24"/>
        </w:rPr>
        <w:t>is responsible for announcing each item of business, recognizing speakers, and for protecting the group from wasting its time.</w:t>
      </w:r>
    </w:p>
    <w:p w:rsidRPr="003D7373" w:rsidR="006279CE" w:rsidP="008A3391" w:rsidRDefault="006279CE" w14:paraId="6F232926" w14:textId="577BB92B">
      <w:pPr>
        <w:shd w:val="clear" w:color="auto" w:fill="FFFFFF"/>
        <w:spacing w:after="300"/>
        <w:jc w:val="both"/>
        <w:rPr>
          <w:rFonts w:eastAsia="Times New Roman"/>
          <w:color w:val="1E1E1E"/>
          <w:sz w:val="24"/>
          <w:szCs w:val="24"/>
        </w:rPr>
      </w:pPr>
      <w:r>
        <w:rPr>
          <w:rFonts w:eastAsia="Times New Roman"/>
          <w:color w:val="1E1E1E"/>
          <w:sz w:val="24"/>
          <w:szCs w:val="24"/>
        </w:rPr>
        <w:t>It is important to remember as well</w:t>
      </w:r>
      <w:r w:rsidRPr="003D7373">
        <w:rPr>
          <w:rFonts w:eastAsia="Times New Roman"/>
          <w:color w:val="1E1E1E"/>
          <w:sz w:val="24"/>
          <w:szCs w:val="24"/>
        </w:rPr>
        <w:t xml:space="preserve"> that the </w:t>
      </w:r>
      <w:r w:rsidR="002E1A3B">
        <w:rPr>
          <w:rFonts w:eastAsia="Times New Roman"/>
          <w:color w:val="1E1E1E"/>
          <w:sz w:val="24"/>
          <w:szCs w:val="24"/>
        </w:rPr>
        <w:t>C</w:t>
      </w:r>
      <w:r w:rsidRPr="003D7373">
        <w:rPr>
          <w:rFonts w:eastAsia="Times New Roman"/>
          <w:color w:val="1E1E1E"/>
          <w:sz w:val="24"/>
          <w:szCs w:val="24"/>
        </w:rPr>
        <w:t xml:space="preserve">hair is subject to the authority of the whole group. If the </w:t>
      </w:r>
      <w:r w:rsidR="002E1A3B">
        <w:rPr>
          <w:rFonts w:eastAsia="Times New Roman"/>
          <w:color w:val="1E1E1E"/>
          <w:sz w:val="24"/>
          <w:szCs w:val="24"/>
        </w:rPr>
        <w:t>C</w:t>
      </w:r>
      <w:r w:rsidRPr="003D7373">
        <w:rPr>
          <w:rFonts w:eastAsia="Times New Roman"/>
          <w:color w:val="1E1E1E"/>
          <w:sz w:val="24"/>
          <w:szCs w:val="24"/>
        </w:rPr>
        <w:t xml:space="preserve">hair says that a given subject is not relevant to the </w:t>
      </w:r>
      <w:r w:rsidRPr="003D7373" w:rsidR="00AA7AC5">
        <w:rPr>
          <w:rFonts w:eastAsia="Times New Roman"/>
          <w:color w:val="1E1E1E"/>
          <w:sz w:val="24"/>
          <w:szCs w:val="24"/>
        </w:rPr>
        <w:t>discussion or</w:t>
      </w:r>
      <w:r w:rsidRPr="003D7373">
        <w:rPr>
          <w:rFonts w:eastAsia="Times New Roman"/>
          <w:color w:val="1E1E1E"/>
          <w:sz w:val="24"/>
          <w:szCs w:val="24"/>
        </w:rPr>
        <w:t xml:space="preserve"> refuses to recognize someone who is entitled to speak, any two members can appeal. When that happens, the group makes the decision.</w:t>
      </w:r>
    </w:p>
    <w:p w:rsidR="006279CE" w:rsidP="008A3391" w:rsidRDefault="006279CE" w14:paraId="32EE961C" w14:textId="4280D8EE">
      <w:pPr>
        <w:shd w:val="clear" w:color="auto" w:fill="FFFFFF"/>
        <w:spacing w:after="300"/>
        <w:jc w:val="both"/>
        <w:rPr>
          <w:rFonts w:eastAsia="Times New Roman"/>
          <w:color w:val="1E1E1E"/>
          <w:sz w:val="24"/>
          <w:szCs w:val="24"/>
        </w:rPr>
      </w:pPr>
      <w:r w:rsidRPr="003D7373">
        <w:rPr>
          <w:rFonts w:eastAsia="Times New Roman"/>
          <w:color w:val="1E1E1E"/>
          <w:sz w:val="24"/>
          <w:szCs w:val="24"/>
        </w:rPr>
        <w:t xml:space="preserve"> It keeps the power in the hands of the </w:t>
      </w:r>
      <w:r w:rsidRPr="003D7373" w:rsidR="00AA7AC5">
        <w:rPr>
          <w:rFonts w:eastAsia="Times New Roman"/>
          <w:color w:val="1E1E1E"/>
          <w:sz w:val="24"/>
          <w:szCs w:val="24"/>
        </w:rPr>
        <w:t>group and</w:t>
      </w:r>
      <w:r w:rsidRPr="003D7373">
        <w:rPr>
          <w:rFonts w:eastAsia="Times New Roman"/>
          <w:color w:val="1E1E1E"/>
          <w:sz w:val="24"/>
          <w:szCs w:val="24"/>
        </w:rPr>
        <w:t xml:space="preserve"> ensures that the </w:t>
      </w:r>
      <w:r w:rsidR="002E1A3B">
        <w:rPr>
          <w:rFonts w:eastAsia="Times New Roman"/>
          <w:color w:val="1E1E1E"/>
          <w:sz w:val="24"/>
          <w:szCs w:val="24"/>
        </w:rPr>
        <w:t>C</w:t>
      </w:r>
      <w:r w:rsidRPr="003D7373">
        <w:rPr>
          <w:rFonts w:eastAsia="Times New Roman"/>
          <w:color w:val="1E1E1E"/>
          <w:sz w:val="24"/>
          <w:szCs w:val="24"/>
        </w:rPr>
        <w:t>hair of the meeting always serves the group’s wishes. It is basic to our democratic process.</w:t>
      </w:r>
      <w:r w:rsidR="009A16B0">
        <w:rPr>
          <w:rFonts w:eastAsia="Times New Roman"/>
          <w:color w:val="1E1E1E"/>
          <w:sz w:val="24"/>
          <w:szCs w:val="24"/>
        </w:rPr>
        <w:t xml:space="preserve"> The appeal process is spelled out clearly where any two members have the right to appeal, one member making the appeal and the other seconding, the question is then</w:t>
      </w:r>
      <w:r w:rsidR="008A3391">
        <w:rPr>
          <w:rFonts w:eastAsia="Times New Roman"/>
          <w:color w:val="1E1E1E"/>
          <w:sz w:val="24"/>
          <w:szCs w:val="24"/>
        </w:rPr>
        <w:t xml:space="preserve"> </w:t>
      </w:r>
      <w:r w:rsidR="009A16B0">
        <w:rPr>
          <w:rFonts w:eastAsia="Times New Roman"/>
          <w:color w:val="1E1E1E"/>
          <w:sz w:val="24"/>
          <w:szCs w:val="24"/>
        </w:rPr>
        <w:t xml:space="preserve">taken from the </w:t>
      </w:r>
      <w:r w:rsidR="002E1A3B">
        <w:rPr>
          <w:rFonts w:eastAsia="Times New Roman"/>
          <w:color w:val="1E1E1E"/>
          <w:sz w:val="24"/>
          <w:szCs w:val="24"/>
        </w:rPr>
        <w:t>C</w:t>
      </w:r>
      <w:r w:rsidR="009A16B0">
        <w:rPr>
          <w:rFonts w:eastAsia="Times New Roman"/>
          <w:color w:val="1E1E1E"/>
          <w:sz w:val="24"/>
          <w:szCs w:val="24"/>
        </w:rPr>
        <w:t>hair and vested in the assembly for final decision.</w:t>
      </w:r>
    </w:p>
    <w:p w:rsidRPr="009A16B0" w:rsidR="009A16B0" w:rsidP="009A16B0" w:rsidRDefault="009A16B0" w14:paraId="6E84C0B5" w14:textId="2C093DA2">
      <w:pPr>
        <w:shd w:val="clear" w:color="auto" w:fill="FFFFFF"/>
        <w:spacing w:after="300"/>
        <w:rPr>
          <w:rFonts w:eastAsia="Times New Roman"/>
          <w:color w:val="1E1E1E"/>
          <w:sz w:val="24"/>
          <w:szCs w:val="24"/>
        </w:rPr>
      </w:pPr>
      <w:r>
        <w:rPr>
          <w:rFonts w:eastAsia="Times New Roman"/>
          <w:color w:val="1E1E1E"/>
          <w:sz w:val="24"/>
          <w:szCs w:val="24"/>
        </w:rPr>
        <w:t>In sum: a</w:t>
      </w:r>
      <w:r w:rsidRPr="009A16B0">
        <w:rPr>
          <w:rFonts w:eastAsia="Times New Roman"/>
          <w:color w:val="1E1E1E"/>
          <w:sz w:val="24"/>
          <w:szCs w:val="24"/>
        </w:rPr>
        <w:t xml:space="preserve">n appeal from the ruling of the </w:t>
      </w:r>
      <w:r w:rsidR="002E1A3B">
        <w:rPr>
          <w:rFonts w:eastAsia="Times New Roman"/>
          <w:color w:val="1E1E1E"/>
          <w:sz w:val="24"/>
          <w:szCs w:val="24"/>
        </w:rPr>
        <w:t>C</w:t>
      </w:r>
      <w:r w:rsidRPr="009A16B0">
        <w:rPr>
          <w:rFonts w:eastAsia="Times New Roman"/>
          <w:color w:val="1E1E1E"/>
          <w:sz w:val="24"/>
          <w:szCs w:val="24"/>
        </w:rPr>
        <w:t>hair</w:t>
      </w:r>
      <w:r>
        <w:rPr>
          <w:rFonts w:eastAsia="Times New Roman"/>
          <w:color w:val="1E1E1E"/>
          <w:sz w:val="24"/>
          <w:szCs w:val="24"/>
        </w:rPr>
        <w:t>:</w:t>
      </w:r>
    </w:p>
    <w:p w:rsidRPr="009A16B0" w:rsidR="009A16B0" w:rsidP="009A16B0" w:rsidRDefault="009A16B0" w14:paraId="71547A0C" w14:textId="684F69D4">
      <w:pPr>
        <w:shd w:val="clear" w:color="auto" w:fill="FFFFFF"/>
        <w:spacing w:after="300"/>
        <w:ind w:firstLine="720"/>
        <w:rPr>
          <w:rFonts w:eastAsia="Times New Roman"/>
          <w:color w:val="1E1E1E"/>
          <w:sz w:val="24"/>
          <w:szCs w:val="24"/>
        </w:rPr>
      </w:pPr>
      <w:r w:rsidRPr="009A16B0">
        <w:rPr>
          <w:rFonts w:eastAsia="Times New Roman"/>
          <w:color w:val="1E1E1E"/>
          <w:sz w:val="24"/>
          <w:szCs w:val="24"/>
        </w:rPr>
        <w:t>Can interrupt a speaker who has the floor.</w:t>
      </w:r>
    </w:p>
    <w:p w:rsidR="009A16B0" w:rsidP="009A16B0" w:rsidRDefault="009A16B0" w14:paraId="2589DB05" w14:textId="77777777">
      <w:pPr>
        <w:shd w:val="clear" w:color="auto" w:fill="FFFFFF"/>
        <w:spacing w:after="300"/>
        <w:ind w:left="720"/>
        <w:rPr>
          <w:rFonts w:eastAsia="Times New Roman"/>
          <w:color w:val="1E1E1E"/>
          <w:sz w:val="24"/>
          <w:szCs w:val="24"/>
        </w:rPr>
      </w:pPr>
      <w:r w:rsidRPr="009A16B0">
        <w:rPr>
          <w:rFonts w:eastAsia="Times New Roman"/>
          <w:color w:val="1E1E1E"/>
          <w:sz w:val="24"/>
          <w:szCs w:val="24"/>
        </w:rPr>
        <w:t>Needs to be seconded Is debatable unless the immediately pending question is not debatable.</w:t>
      </w:r>
    </w:p>
    <w:p w:rsidRPr="009A16B0" w:rsidR="009A16B0" w:rsidP="009A16B0" w:rsidRDefault="009A16B0" w14:paraId="06A837C8" w14:textId="34A41D0B">
      <w:pPr>
        <w:shd w:val="clear" w:color="auto" w:fill="FFFFFF"/>
        <w:spacing w:after="300"/>
        <w:ind w:left="720"/>
        <w:rPr>
          <w:rFonts w:eastAsia="Times New Roman"/>
          <w:color w:val="1E1E1E"/>
          <w:sz w:val="24"/>
          <w:szCs w:val="24"/>
        </w:rPr>
      </w:pPr>
      <w:r w:rsidRPr="009A16B0">
        <w:rPr>
          <w:rFonts w:eastAsia="Times New Roman"/>
          <w:color w:val="1E1E1E"/>
          <w:sz w:val="24"/>
          <w:szCs w:val="24"/>
        </w:rPr>
        <w:t>Can’t be amended.</w:t>
      </w:r>
    </w:p>
    <w:p w:rsidRPr="009A16B0" w:rsidR="009A16B0" w:rsidP="009A16B0" w:rsidRDefault="009A16B0" w14:paraId="43442F76" w14:textId="6A5A92E2">
      <w:pPr>
        <w:shd w:val="clear" w:color="auto" w:fill="FFFFFF"/>
        <w:spacing w:after="300"/>
        <w:ind w:firstLine="720"/>
        <w:rPr>
          <w:rFonts w:eastAsia="Times New Roman"/>
          <w:color w:val="1E1E1E"/>
          <w:sz w:val="24"/>
          <w:szCs w:val="24"/>
        </w:rPr>
      </w:pPr>
      <w:r w:rsidRPr="009A16B0">
        <w:rPr>
          <w:rFonts w:eastAsia="Times New Roman"/>
          <w:color w:val="1E1E1E"/>
          <w:sz w:val="24"/>
          <w:szCs w:val="24"/>
        </w:rPr>
        <w:t xml:space="preserve">Requires a majority vote to overturn the decision of the </w:t>
      </w:r>
      <w:r w:rsidR="002E1A3B">
        <w:rPr>
          <w:rFonts w:eastAsia="Times New Roman"/>
          <w:color w:val="1E1E1E"/>
          <w:sz w:val="24"/>
          <w:szCs w:val="24"/>
        </w:rPr>
        <w:t>Chai</w:t>
      </w:r>
      <w:r w:rsidRPr="009A16B0">
        <w:rPr>
          <w:rFonts w:eastAsia="Times New Roman"/>
          <w:color w:val="1E1E1E"/>
          <w:sz w:val="24"/>
          <w:szCs w:val="24"/>
        </w:rPr>
        <w:t>r.</w:t>
      </w:r>
    </w:p>
    <w:p w:rsidRPr="003D7373" w:rsidR="009A16B0" w:rsidP="009A16B0" w:rsidRDefault="009A16B0" w14:paraId="683442E4" w14:textId="36C96C2E">
      <w:pPr>
        <w:shd w:val="clear" w:color="auto" w:fill="FFFFFF"/>
        <w:spacing w:after="300"/>
        <w:ind w:firstLine="720"/>
        <w:rPr>
          <w:rFonts w:eastAsia="Times New Roman"/>
          <w:color w:val="1E1E1E"/>
          <w:sz w:val="24"/>
          <w:szCs w:val="24"/>
        </w:rPr>
      </w:pPr>
      <w:r w:rsidRPr="009A16B0">
        <w:rPr>
          <w:rFonts w:eastAsia="Times New Roman"/>
          <w:color w:val="1E1E1E"/>
          <w:sz w:val="24"/>
          <w:szCs w:val="24"/>
        </w:rPr>
        <w:t>Can be reconsidered.</w:t>
      </w:r>
      <w:r>
        <w:rPr>
          <w:rStyle w:val="FootnoteReference"/>
          <w:rFonts w:eastAsia="Times New Roman"/>
          <w:color w:val="1E1E1E"/>
          <w:sz w:val="24"/>
          <w:szCs w:val="24"/>
        </w:rPr>
        <w:footnoteReference w:id="11"/>
      </w:r>
    </w:p>
    <w:p w:rsidR="00503692" w:rsidP="00D3198E" w:rsidRDefault="00503692" w14:paraId="692E5E96" w14:textId="32EF87F8">
      <w:pPr>
        <w:jc w:val="both"/>
        <w:rPr>
          <w:sz w:val="24"/>
          <w:szCs w:val="24"/>
        </w:rPr>
      </w:pPr>
    </w:p>
    <w:p w:rsidR="00503692" w:rsidP="00D3198E" w:rsidRDefault="00503692" w14:paraId="2A400904" w14:textId="75A6A2B6">
      <w:pPr>
        <w:jc w:val="both"/>
        <w:rPr>
          <w:sz w:val="24"/>
          <w:szCs w:val="24"/>
        </w:rPr>
      </w:pPr>
    </w:p>
    <w:p w:rsidR="00503692" w:rsidP="00D3198E" w:rsidRDefault="00503692" w14:paraId="14BD0C2B" w14:textId="33887E67">
      <w:pPr>
        <w:jc w:val="both"/>
        <w:rPr>
          <w:sz w:val="24"/>
          <w:szCs w:val="24"/>
        </w:rPr>
      </w:pPr>
    </w:p>
    <w:p w:rsidR="00C249B6" w:rsidP="00D3198E" w:rsidRDefault="00C249B6" w14:paraId="21746CE4" w14:textId="77777777">
      <w:pPr>
        <w:jc w:val="both"/>
        <w:rPr>
          <w:b/>
          <w:bCs/>
          <w:sz w:val="24"/>
          <w:szCs w:val="24"/>
        </w:rPr>
      </w:pPr>
    </w:p>
    <w:p w:rsidR="00C249B6" w:rsidP="00D3198E" w:rsidRDefault="00C249B6" w14:paraId="3BF8B6DB" w14:textId="77777777">
      <w:pPr>
        <w:jc w:val="both"/>
        <w:rPr>
          <w:b/>
          <w:bCs/>
          <w:sz w:val="24"/>
          <w:szCs w:val="24"/>
        </w:rPr>
      </w:pPr>
    </w:p>
    <w:p w:rsidR="00C249B6" w:rsidP="00D3198E" w:rsidRDefault="00C249B6" w14:paraId="3CFFCAAA" w14:textId="77777777">
      <w:pPr>
        <w:jc w:val="both"/>
        <w:rPr>
          <w:b/>
          <w:bCs/>
          <w:sz w:val="24"/>
          <w:szCs w:val="24"/>
        </w:rPr>
      </w:pPr>
    </w:p>
    <w:p w:rsidR="009A16B0" w:rsidP="00D3198E" w:rsidRDefault="009A16B0" w14:paraId="3CF27969" w14:textId="77777777">
      <w:pPr>
        <w:jc w:val="both"/>
        <w:rPr>
          <w:b/>
          <w:bCs/>
          <w:sz w:val="24"/>
          <w:szCs w:val="24"/>
        </w:rPr>
      </w:pPr>
    </w:p>
    <w:p w:rsidR="009A16B0" w:rsidP="00D3198E" w:rsidRDefault="009A16B0" w14:paraId="58432D64" w14:textId="77777777">
      <w:pPr>
        <w:jc w:val="both"/>
        <w:rPr>
          <w:b/>
          <w:bCs/>
          <w:sz w:val="24"/>
          <w:szCs w:val="24"/>
        </w:rPr>
      </w:pPr>
    </w:p>
    <w:p w:rsidR="008A3391" w:rsidP="00D3198E" w:rsidRDefault="008A3391" w14:paraId="64F59029" w14:textId="77777777">
      <w:pPr>
        <w:jc w:val="both"/>
        <w:rPr>
          <w:b/>
          <w:bCs/>
          <w:sz w:val="24"/>
          <w:szCs w:val="24"/>
        </w:rPr>
      </w:pPr>
    </w:p>
    <w:p w:rsidR="008A3391" w:rsidP="00D3198E" w:rsidRDefault="008A3391" w14:paraId="4431B339" w14:textId="77777777">
      <w:pPr>
        <w:jc w:val="both"/>
        <w:rPr>
          <w:b/>
          <w:bCs/>
          <w:sz w:val="24"/>
          <w:szCs w:val="24"/>
        </w:rPr>
      </w:pPr>
    </w:p>
    <w:p w:rsidR="008A3391" w:rsidP="00D3198E" w:rsidRDefault="008A3391" w14:paraId="699DB800" w14:textId="77777777">
      <w:pPr>
        <w:jc w:val="both"/>
        <w:rPr>
          <w:b/>
          <w:bCs/>
          <w:sz w:val="24"/>
          <w:szCs w:val="24"/>
        </w:rPr>
      </w:pPr>
    </w:p>
    <w:p w:rsidR="008A3391" w:rsidP="00D3198E" w:rsidRDefault="008A3391" w14:paraId="012503F5" w14:textId="77777777">
      <w:pPr>
        <w:jc w:val="both"/>
        <w:rPr>
          <w:b/>
          <w:bCs/>
          <w:sz w:val="24"/>
          <w:szCs w:val="24"/>
        </w:rPr>
      </w:pPr>
    </w:p>
    <w:p w:rsidR="00503692" w:rsidP="00D3198E" w:rsidRDefault="00503692" w14:paraId="1665F26A" w14:textId="041578B8">
      <w:pPr>
        <w:jc w:val="both"/>
        <w:rPr>
          <w:b/>
          <w:bCs/>
          <w:sz w:val="24"/>
          <w:szCs w:val="24"/>
        </w:rPr>
      </w:pPr>
      <w:r w:rsidRPr="00503692">
        <w:rPr>
          <w:b/>
          <w:bCs/>
          <w:sz w:val="24"/>
          <w:szCs w:val="24"/>
        </w:rPr>
        <w:t>Conclusion:</w:t>
      </w:r>
    </w:p>
    <w:p w:rsidR="00503692" w:rsidP="00D3198E" w:rsidRDefault="00503692" w14:paraId="7CE6E7C1" w14:textId="4155CE40">
      <w:pPr>
        <w:jc w:val="both"/>
        <w:rPr>
          <w:b/>
          <w:bCs/>
          <w:sz w:val="24"/>
          <w:szCs w:val="24"/>
        </w:rPr>
      </w:pPr>
    </w:p>
    <w:p w:rsidR="00DA0671" w:rsidP="1A8F8363" w:rsidRDefault="001B4870" w14:paraId="5E468186" w14:textId="796C1677">
      <w:pPr>
        <w:jc w:val="both"/>
        <w:rPr>
          <w:sz w:val="24"/>
          <w:szCs w:val="24"/>
        </w:rPr>
      </w:pPr>
      <w:r>
        <w:rPr>
          <w:sz w:val="24"/>
          <w:szCs w:val="24"/>
        </w:rPr>
        <w:t>Area 29</w:t>
      </w:r>
      <w:r w:rsidRPr="0028221D" w:rsidR="00503692">
        <w:rPr>
          <w:sz w:val="24"/>
          <w:szCs w:val="24"/>
        </w:rPr>
        <w:t xml:space="preserve"> believe</w:t>
      </w:r>
      <w:r>
        <w:rPr>
          <w:sz w:val="24"/>
          <w:szCs w:val="24"/>
        </w:rPr>
        <w:t>s</w:t>
      </w:r>
      <w:r w:rsidRPr="0028221D" w:rsidR="00503692">
        <w:rPr>
          <w:sz w:val="24"/>
          <w:szCs w:val="24"/>
        </w:rPr>
        <w:t xml:space="preserve"> </w:t>
      </w:r>
      <w:r w:rsidRPr="1A8F8363" w:rsidR="00871B0E">
        <w:rPr>
          <w:sz w:val="24"/>
          <w:szCs w:val="24"/>
        </w:rPr>
        <w:t xml:space="preserve">that </w:t>
      </w:r>
      <w:r w:rsidRPr="0028221D" w:rsidR="00871B0E">
        <w:rPr>
          <w:sz w:val="24"/>
          <w:szCs w:val="24"/>
        </w:rPr>
        <w:t>a</w:t>
      </w:r>
      <w:r w:rsidRPr="0028221D" w:rsidR="00503692">
        <w:rPr>
          <w:sz w:val="24"/>
          <w:szCs w:val="24"/>
        </w:rPr>
        <w:t xml:space="preserve"> procedure for appealing a ruling of the Chair at Conference would provide a process </w:t>
      </w:r>
      <w:r w:rsidR="00DA0671">
        <w:rPr>
          <w:sz w:val="24"/>
          <w:szCs w:val="24"/>
        </w:rPr>
        <w:t>to</w:t>
      </w:r>
      <w:r w:rsidRPr="0028221D" w:rsidR="00503692">
        <w:rPr>
          <w:sz w:val="24"/>
          <w:szCs w:val="24"/>
        </w:rPr>
        <w:t xml:space="preserve"> assist the </w:t>
      </w:r>
      <w:r w:rsidRPr="1A8F8363" w:rsidR="3370C3B4">
        <w:rPr>
          <w:sz w:val="24"/>
          <w:szCs w:val="24"/>
        </w:rPr>
        <w:t>C</w:t>
      </w:r>
      <w:r w:rsidRPr="0028221D" w:rsidR="00503692">
        <w:rPr>
          <w:sz w:val="24"/>
          <w:szCs w:val="24"/>
        </w:rPr>
        <w:t xml:space="preserve">hair when situations arise that the </w:t>
      </w:r>
      <w:r w:rsidR="00DA0671">
        <w:rPr>
          <w:sz w:val="24"/>
          <w:szCs w:val="24"/>
        </w:rPr>
        <w:t>C</w:t>
      </w:r>
      <w:r w:rsidRPr="0028221D" w:rsidR="00DA0671">
        <w:rPr>
          <w:sz w:val="24"/>
          <w:szCs w:val="24"/>
        </w:rPr>
        <w:t>hair</w:t>
      </w:r>
      <w:r w:rsidRPr="1A8F8363" w:rsidR="759A6EA9">
        <w:rPr>
          <w:sz w:val="24"/>
          <w:szCs w:val="24"/>
        </w:rPr>
        <w:t xml:space="preserve"> may </w:t>
      </w:r>
      <w:r w:rsidR="00DA0671">
        <w:rPr>
          <w:sz w:val="24"/>
          <w:szCs w:val="24"/>
        </w:rPr>
        <w:t>make</w:t>
      </w:r>
      <w:r w:rsidR="00610BF1">
        <w:rPr>
          <w:sz w:val="24"/>
          <w:szCs w:val="24"/>
        </w:rPr>
        <w:t>s</w:t>
      </w:r>
      <w:r w:rsidR="00DA0671">
        <w:rPr>
          <w:sz w:val="24"/>
          <w:szCs w:val="24"/>
        </w:rPr>
        <w:t xml:space="preserve"> a</w:t>
      </w:r>
      <w:r w:rsidRPr="1A8F8363" w:rsidR="1727732A">
        <w:rPr>
          <w:sz w:val="24"/>
          <w:szCs w:val="24"/>
        </w:rPr>
        <w:t xml:space="preserve"> </w:t>
      </w:r>
      <w:r w:rsidR="00DA0671">
        <w:rPr>
          <w:sz w:val="24"/>
          <w:szCs w:val="24"/>
        </w:rPr>
        <w:t>ruling</w:t>
      </w:r>
      <w:r w:rsidRPr="00871B0E" w:rsidR="00503692">
        <w:rPr>
          <w:sz w:val="24"/>
          <w:szCs w:val="24"/>
        </w:rPr>
        <w:t>. How should that be handled? What is the process involved? What rights do the conference</w:t>
      </w:r>
      <w:r w:rsidRPr="1A8F8363" w:rsidR="76D10E6B">
        <w:rPr>
          <w:sz w:val="24"/>
          <w:szCs w:val="24"/>
        </w:rPr>
        <w:t xml:space="preserve"> members</w:t>
      </w:r>
      <w:r w:rsidRPr="00871B0E" w:rsidR="00503692">
        <w:rPr>
          <w:sz w:val="24"/>
          <w:szCs w:val="24"/>
        </w:rPr>
        <w:t xml:space="preserve"> have? What rights does the </w:t>
      </w:r>
      <w:r w:rsidRPr="1A8F8363" w:rsidR="4DCD57E7">
        <w:rPr>
          <w:sz w:val="24"/>
          <w:szCs w:val="24"/>
        </w:rPr>
        <w:t>C</w:t>
      </w:r>
      <w:r w:rsidRPr="00871B0E" w:rsidR="00503692">
        <w:rPr>
          <w:sz w:val="24"/>
          <w:szCs w:val="24"/>
        </w:rPr>
        <w:t>hair have?</w:t>
      </w:r>
    </w:p>
    <w:p w:rsidR="00871B0E" w:rsidP="1A8F8363" w:rsidRDefault="00871B0E" w14:paraId="40C86553" w14:textId="77777777">
      <w:pPr>
        <w:jc w:val="both"/>
        <w:rPr>
          <w:sz w:val="24"/>
          <w:szCs w:val="24"/>
        </w:rPr>
      </w:pPr>
    </w:p>
    <w:p w:rsidR="00503692" w:rsidP="1A8F8363" w:rsidRDefault="00503692" w14:paraId="3BB58A17" w14:textId="3879661C">
      <w:pPr>
        <w:jc w:val="both"/>
        <w:rPr>
          <w:sz w:val="24"/>
          <w:szCs w:val="24"/>
        </w:rPr>
      </w:pPr>
      <w:r w:rsidRPr="00871B0E">
        <w:rPr>
          <w:sz w:val="24"/>
          <w:szCs w:val="24"/>
        </w:rPr>
        <w:t xml:space="preserve">We believe this proposal to be a healthy one.  A.A. history often evolves through a process leading from a problem, to consternation, to prayer and reflection, to discussion and discernment, and finally to action. For example, our Traditions are based upon the fellowships experience, good and bad, over the early years (ten or so) of AA’s existence. Experience both good and bad remains beneficial to the </w:t>
      </w:r>
      <w:r w:rsidR="002E1A3B">
        <w:rPr>
          <w:sz w:val="24"/>
          <w:szCs w:val="24"/>
        </w:rPr>
        <w:t>Fel</w:t>
      </w:r>
      <w:r w:rsidRPr="00871B0E">
        <w:rPr>
          <w:sz w:val="24"/>
          <w:szCs w:val="24"/>
        </w:rPr>
        <w:t>lowship after 85 years of existence</w:t>
      </w:r>
      <w:r w:rsidRPr="1A8F8363" w:rsidR="461CF442">
        <w:rPr>
          <w:sz w:val="24"/>
          <w:szCs w:val="24"/>
        </w:rPr>
        <w:t>,</w:t>
      </w:r>
      <w:r w:rsidRPr="00871B0E">
        <w:rPr>
          <w:sz w:val="24"/>
          <w:szCs w:val="24"/>
        </w:rPr>
        <w:t xml:space="preserve"> providing we use it to improve our procedures and to bring them more in line with our principles.</w:t>
      </w:r>
    </w:p>
    <w:p w:rsidRPr="00871B0E" w:rsidR="00503692" w:rsidP="1A8F8363" w:rsidRDefault="00503692" w14:paraId="55771C0B" w14:textId="557BC469">
      <w:pPr>
        <w:jc w:val="both"/>
        <w:rPr>
          <w:sz w:val="24"/>
          <w:szCs w:val="24"/>
        </w:rPr>
      </w:pPr>
    </w:p>
    <w:p w:rsidRPr="005D598D" w:rsidR="00503692" w:rsidP="1A8F8363" w:rsidRDefault="00503692" w14:paraId="6EAD2208" w14:textId="77777777">
      <w:pPr>
        <w:jc w:val="both"/>
        <w:rPr>
          <w:sz w:val="24"/>
          <w:szCs w:val="24"/>
        </w:rPr>
      </w:pPr>
      <w:r w:rsidRPr="00871B0E">
        <w:rPr>
          <w:sz w:val="24"/>
          <w:szCs w:val="24"/>
        </w:rPr>
        <w:t xml:space="preserve">Finally, Bill reminds us in </w:t>
      </w:r>
      <w:r w:rsidRPr="00871B0E">
        <w:rPr>
          <w:sz w:val="24"/>
          <w:szCs w:val="24"/>
          <w:u w:val="single"/>
        </w:rPr>
        <w:t>Warranty Six</w:t>
      </w:r>
      <w:r w:rsidRPr="00871B0E">
        <w:rPr>
          <w:sz w:val="24"/>
          <w:szCs w:val="24"/>
        </w:rPr>
        <w:t xml:space="preserve">, </w:t>
      </w:r>
    </w:p>
    <w:p w:rsidR="00503692" w:rsidP="00D3198E" w:rsidRDefault="00503692" w14:paraId="03B79732" w14:textId="35F3A257">
      <w:pPr>
        <w:ind w:left="720"/>
        <w:jc w:val="both"/>
        <w:rPr>
          <w:sz w:val="24"/>
          <w:szCs w:val="24"/>
        </w:rPr>
      </w:pPr>
      <w:r w:rsidRPr="00871B0E">
        <w:rPr>
          <w:sz w:val="24"/>
          <w:szCs w:val="24"/>
        </w:rPr>
        <w:t xml:space="preserve">We expect that our Conference will always try to act in the spirit of mutual respect and love – one member for </w:t>
      </w:r>
      <w:r w:rsidR="002E1A3B">
        <w:rPr>
          <w:sz w:val="24"/>
          <w:szCs w:val="24"/>
        </w:rPr>
        <w:t>Another. in</w:t>
      </w:r>
      <w:r w:rsidRPr="00871B0E">
        <w:rPr>
          <w:sz w:val="24"/>
          <w:szCs w:val="24"/>
        </w:rPr>
        <w:t xml:space="preserve"> turn, this sign signifies that mutual trust should prevail; that no action ought to be taken in anger, haste or </w:t>
      </w:r>
      <w:r w:rsidR="002E1A3B">
        <w:rPr>
          <w:sz w:val="24"/>
          <w:szCs w:val="24"/>
        </w:rPr>
        <w:t>recklessness:</w:t>
      </w:r>
      <w:r w:rsidRPr="00871B0E" w:rsidR="001D55C6">
        <w:rPr>
          <w:sz w:val="24"/>
          <w:szCs w:val="24"/>
        </w:rPr>
        <w:t xml:space="preserve"> </w:t>
      </w:r>
      <w:r w:rsidRPr="00871B0E">
        <w:rPr>
          <w:sz w:val="24"/>
          <w:szCs w:val="24"/>
        </w:rPr>
        <w:t xml:space="preserve">that care will be observed to respect and protect all minorities; that no action should ever be personally punitive; ….that our Conference will ever be prudently on guard against tyrannies, great or </w:t>
      </w:r>
      <w:r w:rsidR="002E1A3B">
        <w:rPr>
          <w:sz w:val="24"/>
          <w:szCs w:val="24"/>
        </w:rPr>
        <w:t>small</w:t>
      </w:r>
      <w:r w:rsidR="001D55C6">
        <w:rPr>
          <w:sz w:val="24"/>
          <w:szCs w:val="24"/>
        </w:rPr>
        <w:t xml:space="preserve">, </w:t>
      </w:r>
      <w:r w:rsidRPr="00871B0E">
        <w:rPr>
          <w:sz w:val="24"/>
          <w:szCs w:val="24"/>
        </w:rPr>
        <w:t>whether these be found in the majority or the minority.</w:t>
      </w:r>
      <w:r>
        <w:rPr>
          <w:rStyle w:val="FootnoteReference"/>
        </w:rPr>
        <w:footnoteReference w:id="12"/>
      </w:r>
    </w:p>
    <w:sectPr w:rsidR="00503692" w:rsidSect="00D3198E">
      <w:footerReference w:type="default" r:id="rId8"/>
      <w:pgSz w:w="12240" w:h="15840" w:orient="portrait"/>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F02EE" w:rsidP="0013479D" w:rsidRDefault="005F02EE" w14:paraId="14303573" w14:textId="77777777">
      <w:r>
        <w:separator/>
      </w:r>
    </w:p>
  </w:endnote>
  <w:endnote w:type="continuationSeparator" w:id="0">
    <w:p w:rsidR="005F02EE" w:rsidP="0013479D" w:rsidRDefault="005F02EE" w14:paraId="65B259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456959"/>
      <w:docPartObj>
        <w:docPartGallery w:val="Page Numbers (Bottom of Page)"/>
        <w:docPartUnique/>
      </w:docPartObj>
    </w:sdtPr>
    <w:sdtEndPr>
      <w:rPr>
        <w:noProof/>
      </w:rPr>
    </w:sdtEndPr>
    <w:sdtContent>
      <w:p w:rsidR="00D3198E" w:rsidRDefault="00D3198E" w14:paraId="21110E94" w14:textId="23F8D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F02EE" w:rsidP="0013479D" w:rsidRDefault="005F02EE" w14:paraId="1C18B4A7" w14:textId="77777777">
      <w:r>
        <w:separator/>
      </w:r>
    </w:p>
  </w:footnote>
  <w:footnote w:type="continuationSeparator" w:id="0">
    <w:p w:rsidR="005F02EE" w:rsidP="0013479D" w:rsidRDefault="005F02EE" w14:paraId="2B614676" w14:textId="77777777">
      <w:r>
        <w:continuationSeparator/>
      </w:r>
    </w:p>
  </w:footnote>
  <w:footnote w:id="1">
    <w:p w:rsidR="0013479D" w:rsidRDefault="0013479D" w14:paraId="4E772289" w14:textId="20111E09">
      <w:pPr>
        <w:pStyle w:val="FootnoteText"/>
      </w:pPr>
      <w:r>
        <w:rPr>
          <w:rStyle w:val="FootnoteReference"/>
        </w:rPr>
        <w:footnoteRef/>
      </w:r>
      <w:r>
        <w:t xml:space="preserve"> </w:t>
      </w:r>
      <w:r w:rsidR="006A6DD3">
        <w:t xml:space="preserve">The AA </w:t>
      </w:r>
      <w:r w:rsidR="00227BF9">
        <w:t xml:space="preserve">Service Manual – Combined with “TWELVE CONCEPTS FOR WORLD SERVICE” © 2018-20 edition </w:t>
      </w:r>
      <w:r>
        <w:t>Concept 5, pp 22, 23</w:t>
      </w:r>
    </w:p>
  </w:footnote>
  <w:footnote w:id="2">
    <w:p w:rsidR="00F8390A" w:rsidRDefault="00F8390A" w14:paraId="64D8856E" w14:textId="5F81040F">
      <w:pPr>
        <w:pStyle w:val="FootnoteText"/>
      </w:pPr>
      <w:r>
        <w:rPr>
          <w:rStyle w:val="FootnoteReference"/>
        </w:rPr>
        <w:footnoteRef/>
      </w:r>
      <w:r>
        <w:t xml:space="preserve"> Concept 7 p 27</w:t>
      </w:r>
    </w:p>
  </w:footnote>
  <w:footnote w:id="3">
    <w:p w:rsidR="00465A4D" w:rsidRDefault="00465A4D" w14:paraId="7129C8D6" w14:textId="3F776DBD">
      <w:pPr>
        <w:pStyle w:val="FootnoteText"/>
      </w:pPr>
      <w:r>
        <w:rPr>
          <w:rStyle w:val="FootnoteReference"/>
        </w:rPr>
        <w:footnoteRef/>
      </w:r>
      <w:r>
        <w:t xml:space="preserve"> Ibid</w:t>
      </w:r>
    </w:p>
  </w:footnote>
  <w:footnote w:id="4">
    <w:p w:rsidR="0013479D" w:rsidRDefault="0013479D" w14:paraId="1A17CB7D" w14:textId="1DB87CE8">
      <w:pPr>
        <w:pStyle w:val="FootnoteText"/>
      </w:pPr>
      <w:r>
        <w:rPr>
          <w:rStyle w:val="FootnoteReference"/>
        </w:rPr>
        <w:footnoteRef/>
      </w:r>
      <w:r>
        <w:t xml:space="preserve"> Concept 12 Warranty 3, p. 66</w:t>
      </w:r>
    </w:p>
  </w:footnote>
  <w:footnote w:id="5">
    <w:p w:rsidR="004554A6" w:rsidRDefault="004554A6" w14:paraId="6C1FC5A4" w14:textId="154CF937">
      <w:pPr>
        <w:pStyle w:val="FootnoteText"/>
      </w:pPr>
      <w:r>
        <w:rPr>
          <w:rStyle w:val="FootnoteReference"/>
        </w:rPr>
        <w:footnoteRef/>
      </w:r>
      <w:r>
        <w:t xml:space="preserve"> Service Manual S114</w:t>
      </w:r>
    </w:p>
  </w:footnote>
  <w:footnote w:id="6">
    <w:p w:rsidR="00E63C33" w:rsidRDefault="00E63C33" w14:paraId="44395D58" w14:textId="05A49C83">
      <w:pPr>
        <w:pStyle w:val="FootnoteText"/>
      </w:pPr>
      <w:r>
        <w:rPr>
          <w:rStyle w:val="FootnoteReference"/>
        </w:rPr>
        <w:footnoteRef/>
      </w:r>
      <w:r>
        <w:t xml:space="preserve"> Service Manual S115</w:t>
      </w:r>
    </w:p>
  </w:footnote>
  <w:footnote w:id="7">
    <w:p w:rsidR="00E63C33" w:rsidRDefault="00E63C33" w14:paraId="3234F831" w14:textId="699DB041">
      <w:pPr>
        <w:pStyle w:val="FootnoteText"/>
      </w:pPr>
      <w:r>
        <w:rPr>
          <w:rStyle w:val="FootnoteReference"/>
        </w:rPr>
        <w:footnoteRef/>
      </w:r>
      <w:r>
        <w:t xml:space="preserve"> Ibid</w:t>
      </w:r>
    </w:p>
  </w:footnote>
  <w:footnote w:id="8">
    <w:p w:rsidR="00E63C33" w:rsidRDefault="00E63C33" w14:paraId="7025298C" w14:textId="58CB94C2">
      <w:pPr>
        <w:pStyle w:val="FootnoteText"/>
      </w:pPr>
      <w:r>
        <w:rPr>
          <w:rStyle w:val="FootnoteReference"/>
        </w:rPr>
        <w:footnoteRef/>
      </w:r>
      <w:r>
        <w:t xml:space="preserve"> Service Manual S116</w:t>
      </w:r>
    </w:p>
  </w:footnote>
  <w:footnote w:id="9">
    <w:p w:rsidR="0049794D" w:rsidRDefault="0049794D" w14:paraId="5BF20CC4" w14:textId="1F2381C6">
      <w:pPr>
        <w:pStyle w:val="FootnoteText"/>
      </w:pPr>
      <w:r>
        <w:rPr>
          <w:rStyle w:val="FootnoteReference"/>
        </w:rPr>
        <w:footnoteRef/>
      </w:r>
      <w:r>
        <w:t xml:space="preserve"> Service Manual S105</w:t>
      </w:r>
    </w:p>
  </w:footnote>
  <w:footnote w:id="10">
    <w:p w:rsidR="00503692" w:rsidRDefault="00503692" w14:paraId="3CFDE0DC" w14:textId="5C5498C2">
      <w:pPr>
        <w:pStyle w:val="FootnoteText"/>
      </w:pPr>
      <w:r>
        <w:rPr>
          <w:rStyle w:val="FootnoteReference"/>
        </w:rPr>
        <w:footnoteRef/>
      </w:r>
      <w:r>
        <w:t xml:space="preserve"> Service Manual S108, 109</w:t>
      </w:r>
    </w:p>
  </w:footnote>
  <w:footnote w:id="11">
    <w:p w:rsidR="009A16B0" w:rsidRDefault="009A16B0" w14:paraId="684800EB" w14:textId="2EA5CFDB">
      <w:pPr>
        <w:pStyle w:val="FootnoteText"/>
      </w:pPr>
      <w:r>
        <w:rPr>
          <w:rStyle w:val="FootnoteReference"/>
        </w:rPr>
        <w:footnoteRef/>
      </w:r>
      <w:r>
        <w:t xml:space="preserve"> Robert’s Rules of Order, Newly Revised 11</w:t>
      </w:r>
      <w:r w:rsidRPr="009A16B0">
        <w:rPr>
          <w:vertAlign w:val="superscript"/>
        </w:rPr>
        <w:t>th</w:t>
      </w:r>
      <w:r>
        <w:t xml:space="preserve"> Edition §24 Appeal pp 255-260</w:t>
      </w:r>
    </w:p>
  </w:footnote>
  <w:footnote w:id="12">
    <w:p w:rsidR="00503692" w:rsidRDefault="00503692" w14:paraId="0C958BDC" w14:textId="18B9EE18">
      <w:pPr>
        <w:pStyle w:val="FootnoteText"/>
      </w:pPr>
      <w:r>
        <w:rPr>
          <w:rStyle w:val="FootnoteReference"/>
        </w:rPr>
        <w:footnoteRef/>
      </w:r>
      <w:r>
        <w:t xml:space="preserve"> Concept 12 Warranty 6, p, 72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D9196E"/>
    <w:multiLevelType w:val="hybridMultilevel"/>
    <w:tmpl w:val="DC2AF5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95"/>
    <w:rsid w:val="00037B50"/>
    <w:rsid w:val="0013479D"/>
    <w:rsid w:val="001B4870"/>
    <w:rsid w:val="001C5FB1"/>
    <w:rsid w:val="001D55C6"/>
    <w:rsid w:val="001D7445"/>
    <w:rsid w:val="00227BF9"/>
    <w:rsid w:val="00241B0A"/>
    <w:rsid w:val="0028221D"/>
    <w:rsid w:val="002C7A8C"/>
    <w:rsid w:val="002E1A3B"/>
    <w:rsid w:val="00302E48"/>
    <w:rsid w:val="00425871"/>
    <w:rsid w:val="004554A6"/>
    <w:rsid w:val="00465A4D"/>
    <w:rsid w:val="0049794D"/>
    <w:rsid w:val="00503692"/>
    <w:rsid w:val="0054402F"/>
    <w:rsid w:val="005A03A3"/>
    <w:rsid w:val="005C745E"/>
    <w:rsid w:val="005F02EE"/>
    <w:rsid w:val="00610BF1"/>
    <w:rsid w:val="006279CE"/>
    <w:rsid w:val="006536DE"/>
    <w:rsid w:val="006A6DD3"/>
    <w:rsid w:val="006C2869"/>
    <w:rsid w:val="006C5495"/>
    <w:rsid w:val="00871B0E"/>
    <w:rsid w:val="008A3391"/>
    <w:rsid w:val="008E7DBA"/>
    <w:rsid w:val="00935905"/>
    <w:rsid w:val="00955BA6"/>
    <w:rsid w:val="009A15C9"/>
    <w:rsid w:val="009A16B0"/>
    <w:rsid w:val="00A16C31"/>
    <w:rsid w:val="00AA7AC5"/>
    <w:rsid w:val="00C249B6"/>
    <w:rsid w:val="00C34399"/>
    <w:rsid w:val="00C61297"/>
    <w:rsid w:val="00CE63CE"/>
    <w:rsid w:val="00D3198E"/>
    <w:rsid w:val="00D6627C"/>
    <w:rsid w:val="00DA0671"/>
    <w:rsid w:val="00E63C33"/>
    <w:rsid w:val="00E65368"/>
    <w:rsid w:val="00EC4D88"/>
    <w:rsid w:val="00F1383F"/>
    <w:rsid w:val="00F16CA5"/>
    <w:rsid w:val="00F8390A"/>
    <w:rsid w:val="00FD6109"/>
    <w:rsid w:val="00FE5188"/>
    <w:rsid w:val="00FE5317"/>
    <w:rsid w:val="02408735"/>
    <w:rsid w:val="07905B8F"/>
    <w:rsid w:val="08E94868"/>
    <w:rsid w:val="0925E090"/>
    <w:rsid w:val="09908CA1"/>
    <w:rsid w:val="09E3296C"/>
    <w:rsid w:val="0B9A872D"/>
    <w:rsid w:val="10400A66"/>
    <w:rsid w:val="15CA65DF"/>
    <w:rsid w:val="1727732A"/>
    <w:rsid w:val="17EA4313"/>
    <w:rsid w:val="181B1E50"/>
    <w:rsid w:val="186B2D12"/>
    <w:rsid w:val="187EDA65"/>
    <w:rsid w:val="19B249D1"/>
    <w:rsid w:val="1A065CD1"/>
    <w:rsid w:val="1A8F8363"/>
    <w:rsid w:val="1DAE6B37"/>
    <w:rsid w:val="1E2638AE"/>
    <w:rsid w:val="1E4B56EF"/>
    <w:rsid w:val="21FDA1AB"/>
    <w:rsid w:val="26059F54"/>
    <w:rsid w:val="26993BD6"/>
    <w:rsid w:val="2B70D062"/>
    <w:rsid w:val="328F174A"/>
    <w:rsid w:val="3370C3B4"/>
    <w:rsid w:val="34FE8A4B"/>
    <w:rsid w:val="3A9444BB"/>
    <w:rsid w:val="3BBE7C97"/>
    <w:rsid w:val="3F80A7AC"/>
    <w:rsid w:val="4377D1AF"/>
    <w:rsid w:val="461CF442"/>
    <w:rsid w:val="4DCD57E7"/>
    <w:rsid w:val="4E6E0DA1"/>
    <w:rsid w:val="53D9267D"/>
    <w:rsid w:val="6D62E7B0"/>
    <w:rsid w:val="7227D5CF"/>
    <w:rsid w:val="744BEE6C"/>
    <w:rsid w:val="759A6EA9"/>
    <w:rsid w:val="76D10E6B"/>
    <w:rsid w:val="79611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DA71"/>
  <w15:chartTrackingRefBased/>
  <w15:docId w15:val="{33A28286-F433-41D5-B021-B56C58D5A8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5495"/>
    <w:pPr>
      <w:widowControl w:val="0"/>
      <w:autoSpaceDE w:val="0"/>
      <w:autoSpaceDN w:val="0"/>
      <w:spacing w:after="0" w:line="240" w:lineRule="auto"/>
    </w:pPr>
    <w:rPr>
      <w:rFonts w:ascii="Arial" w:hAnsi="Arial" w:eastAsia="Arial" w:cs="Arial"/>
    </w:rPr>
  </w:style>
  <w:style w:type="paragraph" w:styleId="Heading1">
    <w:name w:val="heading 1"/>
    <w:basedOn w:val="Normal"/>
    <w:link w:val="Heading1Char"/>
    <w:uiPriority w:val="9"/>
    <w:qFormat/>
    <w:rsid w:val="006C5495"/>
    <w:pPr>
      <w:spacing w:before="82"/>
      <w:ind w:left="140"/>
      <w:outlineLvl w:val="0"/>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C5495"/>
    <w:rPr>
      <w:rFonts w:ascii="Arial" w:hAnsi="Arial" w:eastAsia="Arial" w:cs="Arial"/>
      <w:b/>
      <w:bCs/>
      <w:sz w:val="24"/>
      <w:szCs w:val="24"/>
    </w:rPr>
  </w:style>
  <w:style w:type="paragraph" w:styleId="BodyText">
    <w:name w:val="Body Text"/>
    <w:basedOn w:val="Normal"/>
    <w:link w:val="BodyTextChar"/>
    <w:uiPriority w:val="1"/>
    <w:qFormat/>
    <w:rsid w:val="006C5495"/>
    <w:rPr>
      <w:sz w:val="24"/>
      <w:szCs w:val="24"/>
    </w:rPr>
  </w:style>
  <w:style w:type="character" w:styleId="BodyTextChar" w:customStyle="1">
    <w:name w:val="Body Text Char"/>
    <w:basedOn w:val="DefaultParagraphFont"/>
    <w:link w:val="BodyText"/>
    <w:uiPriority w:val="1"/>
    <w:rsid w:val="006C5495"/>
    <w:rPr>
      <w:rFonts w:ascii="Arial" w:hAnsi="Arial" w:eastAsia="Arial" w:cs="Arial"/>
      <w:sz w:val="24"/>
      <w:szCs w:val="24"/>
    </w:rPr>
  </w:style>
  <w:style w:type="paragraph" w:styleId="EndnoteText">
    <w:name w:val="endnote text"/>
    <w:basedOn w:val="Normal"/>
    <w:link w:val="EndnoteTextChar"/>
    <w:uiPriority w:val="99"/>
    <w:semiHidden/>
    <w:unhideWhenUsed/>
    <w:rsid w:val="0013479D"/>
    <w:pPr>
      <w:widowControl/>
      <w:autoSpaceDE/>
      <w:autoSpaceDN/>
    </w:pPr>
    <w:rPr>
      <w:rFonts w:asciiTheme="minorHAnsi" w:hAnsiTheme="minorHAnsi" w:eastAsiaTheme="minorHAnsi" w:cstheme="minorBidi"/>
      <w:sz w:val="20"/>
      <w:szCs w:val="20"/>
    </w:rPr>
  </w:style>
  <w:style w:type="character" w:styleId="EndnoteTextChar" w:customStyle="1">
    <w:name w:val="Endnote Text Char"/>
    <w:basedOn w:val="DefaultParagraphFont"/>
    <w:link w:val="EndnoteText"/>
    <w:uiPriority w:val="99"/>
    <w:semiHidden/>
    <w:rsid w:val="0013479D"/>
    <w:rPr>
      <w:sz w:val="20"/>
      <w:szCs w:val="20"/>
    </w:rPr>
  </w:style>
  <w:style w:type="character" w:styleId="EndnoteReference">
    <w:name w:val="endnote reference"/>
    <w:basedOn w:val="DefaultParagraphFont"/>
    <w:uiPriority w:val="99"/>
    <w:semiHidden/>
    <w:unhideWhenUsed/>
    <w:rsid w:val="0013479D"/>
    <w:rPr>
      <w:vertAlign w:val="superscript"/>
    </w:rPr>
  </w:style>
  <w:style w:type="paragraph" w:styleId="FootnoteText">
    <w:name w:val="footnote text"/>
    <w:basedOn w:val="Normal"/>
    <w:link w:val="FootnoteTextChar"/>
    <w:uiPriority w:val="99"/>
    <w:semiHidden/>
    <w:unhideWhenUsed/>
    <w:rsid w:val="0013479D"/>
    <w:rPr>
      <w:sz w:val="20"/>
      <w:szCs w:val="20"/>
    </w:rPr>
  </w:style>
  <w:style w:type="character" w:styleId="FootnoteTextChar" w:customStyle="1">
    <w:name w:val="Footnote Text Char"/>
    <w:basedOn w:val="DefaultParagraphFont"/>
    <w:link w:val="FootnoteText"/>
    <w:uiPriority w:val="99"/>
    <w:semiHidden/>
    <w:rsid w:val="0013479D"/>
    <w:rPr>
      <w:rFonts w:ascii="Arial" w:hAnsi="Arial" w:eastAsia="Arial" w:cs="Arial"/>
      <w:sz w:val="20"/>
      <w:szCs w:val="20"/>
    </w:rPr>
  </w:style>
  <w:style w:type="character" w:styleId="FootnoteReference">
    <w:name w:val="footnote reference"/>
    <w:basedOn w:val="DefaultParagraphFont"/>
    <w:uiPriority w:val="99"/>
    <w:semiHidden/>
    <w:unhideWhenUsed/>
    <w:rsid w:val="0013479D"/>
    <w:rPr>
      <w:vertAlign w:val="superscript"/>
    </w:rPr>
  </w:style>
  <w:style w:type="paragraph" w:styleId="Header">
    <w:name w:val="header"/>
    <w:basedOn w:val="Normal"/>
    <w:link w:val="HeaderChar"/>
    <w:uiPriority w:val="99"/>
    <w:unhideWhenUsed/>
    <w:rsid w:val="00D3198E"/>
    <w:pPr>
      <w:tabs>
        <w:tab w:val="center" w:pos="4680"/>
        <w:tab w:val="right" w:pos="9360"/>
      </w:tabs>
    </w:pPr>
  </w:style>
  <w:style w:type="character" w:styleId="HeaderChar" w:customStyle="1">
    <w:name w:val="Header Char"/>
    <w:basedOn w:val="DefaultParagraphFont"/>
    <w:link w:val="Header"/>
    <w:uiPriority w:val="99"/>
    <w:rsid w:val="00D3198E"/>
    <w:rPr>
      <w:rFonts w:ascii="Arial" w:hAnsi="Arial" w:eastAsia="Arial" w:cs="Arial"/>
    </w:rPr>
  </w:style>
  <w:style w:type="paragraph" w:styleId="Footer">
    <w:name w:val="footer"/>
    <w:basedOn w:val="Normal"/>
    <w:link w:val="FooterChar"/>
    <w:uiPriority w:val="99"/>
    <w:unhideWhenUsed/>
    <w:rsid w:val="00D3198E"/>
    <w:pPr>
      <w:tabs>
        <w:tab w:val="center" w:pos="4680"/>
        <w:tab w:val="right" w:pos="9360"/>
      </w:tabs>
    </w:pPr>
  </w:style>
  <w:style w:type="character" w:styleId="FooterChar" w:customStyle="1">
    <w:name w:val="Footer Char"/>
    <w:basedOn w:val="DefaultParagraphFont"/>
    <w:link w:val="Footer"/>
    <w:uiPriority w:val="99"/>
    <w:rsid w:val="00D3198E"/>
    <w:rPr>
      <w:rFonts w:ascii="Arial" w:hAnsi="Arial" w:eastAsia="Arial" w:cs="Arial"/>
    </w:rPr>
  </w:style>
  <w:style w:type="paragraph" w:styleId="BalloonText">
    <w:name w:val="Balloon Text"/>
    <w:basedOn w:val="Normal"/>
    <w:link w:val="BalloonTextChar"/>
    <w:uiPriority w:val="99"/>
    <w:semiHidden/>
    <w:unhideWhenUsed/>
    <w:rsid w:val="00955BA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5BA6"/>
    <w:rPr>
      <w:rFonts w:ascii="Segoe UI" w:hAnsi="Segoe UI" w:eastAsia="Arial" w:cs="Segoe UI"/>
      <w:sz w:val="18"/>
      <w:szCs w:val="18"/>
    </w:rPr>
  </w:style>
  <w:style w:type="character" w:styleId="CommentReference">
    <w:name w:val="annotation reference"/>
    <w:basedOn w:val="DefaultParagraphFont"/>
    <w:uiPriority w:val="99"/>
    <w:semiHidden/>
    <w:unhideWhenUsed/>
    <w:rsid w:val="0028221D"/>
    <w:rPr>
      <w:sz w:val="16"/>
      <w:szCs w:val="16"/>
    </w:rPr>
  </w:style>
  <w:style w:type="paragraph" w:styleId="CommentText">
    <w:name w:val="annotation text"/>
    <w:basedOn w:val="Normal"/>
    <w:link w:val="CommentTextChar"/>
    <w:uiPriority w:val="99"/>
    <w:semiHidden/>
    <w:unhideWhenUsed/>
    <w:rsid w:val="0028221D"/>
    <w:rPr>
      <w:sz w:val="20"/>
      <w:szCs w:val="20"/>
    </w:rPr>
  </w:style>
  <w:style w:type="character" w:styleId="CommentTextChar" w:customStyle="1">
    <w:name w:val="Comment Text Char"/>
    <w:basedOn w:val="DefaultParagraphFont"/>
    <w:link w:val="CommentText"/>
    <w:uiPriority w:val="99"/>
    <w:semiHidden/>
    <w:rsid w:val="0028221D"/>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28221D"/>
    <w:rPr>
      <w:b/>
      <w:bCs/>
    </w:rPr>
  </w:style>
  <w:style w:type="character" w:styleId="CommentSubjectChar" w:customStyle="1">
    <w:name w:val="Comment Subject Char"/>
    <w:basedOn w:val="CommentTextChar"/>
    <w:link w:val="CommentSubject"/>
    <w:uiPriority w:val="99"/>
    <w:semiHidden/>
    <w:rsid w:val="0028221D"/>
    <w:rPr>
      <w:rFonts w:ascii="Arial" w:hAnsi="Arial" w:eastAsia="Arial" w:cs="Arial"/>
      <w:b/>
      <w:bCs/>
      <w:sz w:val="20"/>
      <w:szCs w:val="20"/>
    </w:rPr>
  </w:style>
  <w:style w:type="paragraph" w:styleId="Revision">
    <w:name w:val="Revision"/>
    <w:hidden/>
    <w:uiPriority w:val="99"/>
    <w:semiHidden/>
    <w:rsid w:val="001C5FB1"/>
    <w:pPr>
      <w:spacing w:after="0" w:line="240" w:lineRule="auto"/>
    </w:pPr>
    <w:rPr>
      <w:rFonts w:ascii="Arial" w:hAnsi="Arial" w:eastAsia="Arial" w:cs="Arial"/>
    </w:rPr>
  </w:style>
  <w:style w:type="paragraph" w:styleId="ListParagraph">
    <w:name w:val="List Paragraph"/>
    <w:basedOn w:val="Normal"/>
    <w:uiPriority w:val="34"/>
    <w:qFormat/>
    <w:rsid w:val="001C5F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333133">
      <w:bodyDiv w:val="1"/>
      <w:marLeft w:val="0"/>
      <w:marRight w:val="0"/>
      <w:marTop w:val="0"/>
      <w:marBottom w:val="0"/>
      <w:divBdr>
        <w:top w:val="none" w:sz="0" w:space="0" w:color="auto"/>
        <w:left w:val="none" w:sz="0" w:space="0" w:color="auto"/>
        <w:bottom w:val="none" w:sz="0" w:space="0" w:color="auto"/>
        <w:right w:val="none" w:sz="0" w:space="0" w:color="auto"/>
      </w:divBdr>
      <w:divsChild>
        <w:div w:id="929044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27330">
              <w:marLeft w:val="0"/>
              <w:marRight w:val="0"/>
              <w:marTop w:val="0"/>
              <w:marBottom w:val="0"/>
              <w:divBdr>
                <w:top w:val="none" w:sz="0" w:space="0" w:color="auto"/>
                <w:left w:val="none" w:sz="0" w:space="0" w:color="auto"/>
                <w:bottom w:val="none" w:sz="0" w:space="0" w:color="auto"/>
                <w:right w:val="none" w:sz="0" w:space="0" w:color="auto"/>
              </w:divBdr>
              <w:divsChild>
                <w:div w:id="527986057">
                  <w:marLeft w:val="0"/>
                  <w:marRight w:val="0"/>
                  <w:marTop w:val="0"/>
                  <w:marBottom w:val="0"/>
                  <w:divBdr>
                    <w:top w:val="none" w:sz="0" w:space="0" w:color="auto"/>
                    <w:left w:val="none" w:sz="0" w:space="0" w:color="auto"/>
                    <w:bottom w:val="none" w:sz="0" w:space="0" w:color="auto"/>
                    <w:right w:val="none" w:sz="0" w:space="0" w:color="auto"/>
                  </w:divBdr>
                  <w:divsChild>
                    <w:div w:id="419378661">
                      <w:marLeft w:val="0"/>
                      <w:marRight w:val="0"/>
                      <w:marTop w:val="0"/>
                      <w:marBottom w:val="0"/>
                      <w:divBdr>
                        <w:top w:val="none" w:sz="0" w:space="0" w:color="auto"/>
                        <w:left w:val="none" w:sz="0" w:space="0" w:color="auto"/>
                        <w:bottom w:val="none" w:sz="0" w:space="0" w:color="auto"/>
                        <w:right w:val="none" w:sz="0" w:space="0" w:color="auto"/>
                      </w:divBdr>
                      <w:divsChild>
                        <w:div w:id="10599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glossaryDocument" Target="/word/glossary/document.xml" Id="Re6115c7d4a9142c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458f14-55fc-4e74-8f15-7c6b7993b566}"/>
      </w:docPartPr>
      <w:docPartBody>
        <w:p w14:paraId="2D0CA0C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E498-1471-4CE1-86AF-042E1C969F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Frank McFadden</dc:creator>
  <keywords/>
  <dc:description/>
  <lastModifiedBy>Secretary</lastModifiedBy>
  <revision>5</revision>
  <dcterms:created xsi:type="dcterms:W3CDTF">2020-11-09T19:28:00.0000000Z</dcterms:created>
  <dcterms:modified xsi:type="dcterms:W3CDTF">2020-11-30T17:29:40.7224473Z</dcterms:modified>
</coreProperties>
</file>